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7399B" w14:textId="681E4DDC" w:rsidR="00A27B16" w:rsidRPr="00421579" w:rsidRDefault="009F601A" w:rsidP="004669B7">
      <w:pPr>
        <w:pStyle w:val="Heading1"/>
      </w:pPr>
      <w:r w:rsidRPr="00421579">
        <mc:AlternateContent>
          <mc:Choice Requires="wps">
            <w:drawing>
              <wp:anchor distT="0" distB="0" distL="114300" distR="114300" simplePos="0" relativeHeight="251659264" behindDoc="0" locked="0" layoutInCell="1" allowOverlap="1" wp14:anchorId="010A28E7" wp14:editId="589A50F7">
                <wp:simplePos x="0" y="0"/>
                <wp:positionH relativeFrom="column">
                  <wp:posOffset>-525780</wp:posOffset>
                </wp:positionH>
                <wp:positionV relativeFrom="paragraph">
                  <wp:posOffset>740947</wp:posOffset>
                </wp:positionV>
                <wp:extent cx="7731633" cy="0"/>
                <wp:effectExtent l="0" t="0" r="15875"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316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22AC2B" id="Straight Connector 7"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4pt,58.35pt" to="567.4pt,5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" strokecolor="#ff7a00 [3204]" strokeweight=".5pt">
                <v:stroke joinstyle="miter"/>
              </v:line>
            </w:pict>
          </mc:Fallback>
        </mc:AlternateContent>
      </w:r>
      <w:r w:rsidR="00CB7EC4">
        <w:t>Religious</w:t>
      </w:r>
      <w:r w:rsidR="0070344F" w:rsidRPr="0070344F">
        <w:t xml:space="preserve"> </w:t>
      </w:r>
      <w:r w:rsidR="00CB7EC4">
        <w:t>and</w:t>
      </w:r>
      <w:r w:rsidR="00CB7EC4" w:rsidRPr="00786BD0">
        <w:t xml:space="preserve"> Spiritual Observances</w:t>
      </w:r>
      <w:r w:rsidR="00CB7EC4">
        <w:t xml:space="preserve"> for Winter, Spring, and Summer 2025</w:t>
      </w:r>
    </w:p>
    <w:p w14:paraId="57C6C25B" w14:textId="77777777" w:rsidR="00CB7EC4" w:rsidRPr="00CB7EC4" w:rsidRDefault="00CB7EC4" w:rsidP="009A7D14">
      <w:pPr>
        <w:pStyle w:val="Heading2"/>
        <w:sectPr w:rsidR="00CB7EC4" w:rsidRPr="00CB7EC4" w:rsidSect="00CB7EC4">
          <w:headerReference w:type="default" r:id="rId7"/>
          <w:footerReference w:type="default" r:id="rId8"/>
          <w:type w:val="continuous"/>
          <w:pgSz w:w="12240" w:h="15840"/>
          <w:pgMar w:top="1008" w:right="864" w:bottom="1008" w:left="864" w:header="720" w:footer="360" w:gutter="0"/>
          <w:cols w:space="720"/>
          <w:docGrid w:linePitch="360"/>
        </w:sectPr>
      </w:pPr>
      <w:r w:rsidRPr="00CB7EC4">
        <w:t>Commitment to Diversity</w:t>
      </w:r>
    </w:p>
    <w:p w14:paraId="7F1AFE3D" w14:textId="77777777" w:rsidR="00CB7EC4" w:rsidRPr="004669B7" w:rsidRDefault="00CB7EC4" w:rsidP="004669B7">
      <w:r w:rsidRPr="004669B7">
        <w:t>The Office of Inclusion, Diversity, Anti-Racism, and Equity (IDARE) recognizes that members of our religiously and spiritually diverse community may observe practices or holy days during the academic year that are salient to their faith traditions.</w:t>
      </w:r>
    </w:p>
    <w:p w14:paraId="49985A8D" w14:textId="77777777" w:rsidR="00CB7EC4" w:rsidRPr="00CB7EC4" w:rsidRDefault="00CB7EC4" w:rsidP="004669B7">
      <w:r w:rsidRPr="00CB7EC4">
        <w:t>As part of our commitment to diversity, inclusion and non-discrimination, the University makes good faith efforts to reconcile potential conflicts between an individual’s strongly held religious, spiritual or philosophical beliefs, and university work or academic requirements. Food or work restrictions, as well as special worship obligations may impact the ability of our students, faculty and staff to participate in university events that take place on their respective religious holy day. Please keep in mind that some observances require additional time for preparation or travel before and after the actual holy day.</w:t>
      </w:r>
    </w:p>
    <w:p w14:paraId="74D6BEBE" w14:textId="77777777" w:rsidR="00CB7EC4" w:rsidRPr="00CB7EC4" w:rsidRDefault="00CB7EC4" w:rsidP="004669B7">
      <w:r w:rsidRPr="00CB7EC4">
        <w:t xml:space="preserve">The Office of Institutional Equity (OIE) is available to provide information and resources regarding religious accommodations for students, faculty and staff. Please visit </w:t>
      </w:r>
      <w:hyperlink r:id="rId9" w:history="1">
        <w:r w:rsidRPr="005037AA">
          <w:rPr>
            <w:rStyle w:val="Hyperlink"/>
          </w:rPr>
          <w:t>Religious Accommodations</w:t>
        </w:r>
      </w:hyperlink>
      <w:r w:rsidRPr="00CB7EC4">
        <w:t xml:space="preserve"> to learn more about requesting accommodations via an </w:t>
      </w:r>
      <w:hyperlink r:id="rId10" w:history="1">
        <w:r w:rsidRPr="007758EA">
          <w:rPr>
            <w:rStyle w:val="Hyperlink"/>
          </w:rPr>
          <w:t>Online Reasonable Accommodations Report</w:t>
        </w:r>
      </w:hyperlink>
      <w:r w:rsidRPr="00CB7EC4">
        <w:t xml:space="preserve"> and/or providing observant individuals with reasonable support.</w:t>
      </w:r>
    </w:p>
    <w:p w14:paraId="6D6071F6" w14:textId="77777777" w:rsidR="00CB7EC4" w:rsidRDefault="00CB7EC4" w:rsidP="009A7D14">
      <w:pPr>
        <w:pStyle w:val="Heading2"/>
      </w:pPr>
      <w:r w:rsidRPr="00BD6BAF">
        <w:t xml:space="preserve">Religious </w:t>
      </w:r>
      <w:r>
        <w:t>and</w:t>
      </w:r>
      <w:r w:rsidRPr="00BD6BAF">
        <w:t xml:space="preserve"> Spiritual Observances</w:t>
      </w:r>
    </w:p>
    <w:p w14:paraId="2800DCA2" w14:textId="77777777" w:rsidR="00CB7EC4" w:rsidRPr="00CB7EC4" w:rsidRDefault="00CB7EC4" w:rsidP="004669B7">
      <w:r w:rsidRPr="00CB7EC4">
        <w:t xml:space="preserve">The following calendar is not exhaustive and does not include all holy days/observances in every religious or spiritual tradition. This resource is intended to be a guide as you schedule important deadlines or events. </w:t>
      </w:r>
    </w:p>
    <w:p w14:paraId="441D0CD7" w14:textId="77777777" w:rsidR="00CB7EC4" w:rsidRPr="00CB7EC4" w:rsidRDefault="00CB7EC4" w:rsidP="00C341A8">
      <w:pPr>
        <w:spacing w:after="0"/>
      </w:pPr>
      <w:r w:rsidRPr="00CB7EC4">
        <w:t>Please note:</w:t>
      </w:r>
    </w:p>
    <w:p w14:paraId="298273B7" w14:textId="77777777" w:rsidR="00CB7EC4" w:rsidRPr="00CB7EC4" w:rsidRDefault="00CB7EC4" w:rsidP="004669B7">
      <w:pPr>
        <w:pStyle w:val="Bullet1"/>
      </w:pPr>
      <w:r w:rsidRPr="00CB7EC4">
        <w:t>Baháʼí, Islamic and Jewish observances begin at sundown on the dates listed</w:t>
      </w:r>
    </w:p>
    <w:p w14:paraId="4CF4B2E2" w14:textId="77777777" w:rsidR="00CB7EC4" w:rsidRDefault="00CB7EC4" w:rsidP="004669B7">
      <w:pPr>
        <w:pStyle w:val="Bullet1"/>
      </w:pPr>
      <w:r w:rsidRPr="00CB7EC4">
        <w:t>Hindu and Islamic holy days are approximate based on the lunar calendar</w:t>
      </w:r>
    </w:p>
    <w:p w14:paraId="25246377" w14:textId="3CA62560" w:rsidR="00CB7EC4" w:rsidRPr="006F72E8" w:rsidRDefault="00CB7EC4" w:rsidP="004669B7">
      <w:pPr>
        <w:pStyle w:val="LastBullet1"/>
      </w:pPr>
      <w:r w:rsidRPr="006F72E8">
        <w:t xml:space="preserve">Some variances of dates may occur due to regional differences </w:t>
      </w:r>
    </w:p>
    <w:p w14:paraId="000890F2" w14:textId="77777777" w:rsidR="00CB7EC4" w:rsidRPr="006F72E8" w:rsidRDefault="00CB7EC4" w:rsidP="00C341A8">
      <w:pPr>
        <w:spacing w:after="0"/>
      </w:pPr>
      <w:r w:rsidRPr="006F72E8">
        <w:t>For any questions or concerns, please contact:</w:t>
      </w:r>
    </w:p>
    <w:p w14:paraId="63AD36AE" w14:textId="77777777" w:rsidR="00CB7EC4" w:rsidRPr="00DA2702" w:rsidRDefault="00CB7EC4" w:rsidP="004669B7">
      <w:pPr>
        <w:pStyle w:val="Bullet1"/>
      </w:pPr>
      <w:r w:rsidRPr="006F72E8">
        <w:t>Office</w:t>
      </w:r>
      <w:r w:rsidRPr="00DA2702">
        <w:t xml:space="preserve"> of Institutional Equity, </w:t>
      </w:r>
      <w:hyperlink r:id="rId11" w:history="1">
        <w:r w:rsidRPr="00DA2702">
          <w:rPr>
            <w:rStyle w:val="Hyperlink"/>
          </w:rPr>
          <w:t>oie@jhu.edu</w:t>
        </w:r>
      </w:hyperlink>
      <w:r w:rsidRPr="00DA2702">
        <w:t xml:space="preserve"> </w:t>
      </w:r>
    </w:p>
    <w:p w14:paraId="071795D8" w14:textId="77777777" w:rsidR="00CB7EC4" w:rsidRPr="00ED66BB" w:rsidRDefault="00CB7EC4" w:rsidP="004669B7">
      <w:pPr>
        <w:pStyle w:val="LastBullet1"/>
        <w:rPr>
          <w:color w:val="C15105"/>
          <w:u w:val="single"/>
        </w:rPr>
      </w:pPr>
      <w:r w:rsidRPr="00DA2702">
        <w:t xml:space="preserve">Office of Inclusion, Diversity, Anti-Racism, and Equity (IDARE), </w:t>
      </w:r>
      <w:hyperlink r:id="rId12" w:history="1">
        <w:r w:rsidRPr="00DA2702">
          <w:rPr>
            <w:rStyle w:val="Hyperlink"/>
          </w:rPr>
          <w:t>bsph-idare@jhu.edu</w:t>
        </w:r>
      </w:hyperlink>
    </w:p>
    <w:p w14:paraId="07984051" w14:textId="1AB4AE15" w:rsidR="006F72E8" w:rsidRDefault="006F72E8" w:rsidP="004669B7">
      <w:pPr>
        <w:rPr>
          <w:rFonts w:ascii="Georgia" w:hAnsi="Georgia" w:cstheme="minorBidi"/>
          <w:noProof/>
          <w:color w:val="4B8CCA"/>
          <w:sz w:val="32"/>
          <w:szCs w:val="32"/>
        </w:rPr>
      </w:pPr>
    </w:p>
    <w:p w14:paraId="02A9D9A7" w14:textId="178C805E" w:rsidR="00C341A8" w:rsidRDefault="00C341A8" w:rsidP="00D23A20">
      <w:pPr>
        <w:tabs>
          <w:tab w:val="left" w:pos="6703"/>
        </w:tabs>
        <w:spacing w:after="360" w:line="264" w:lineRule="auto"/>
        <w:rPr>
          <w:rFonts w:ascii="Georgia" w:hAnsi="Georgia" w:cstheme="minorBidi"/>
          <w:b/>
          <w:noProof/>
          <w:color w:val="4B8CCA"/>
          <w:sz w:val="32"/>
          <w:szCs w:val="32"/>
        </w:rPr>
      </w:pPr>
      <w:r>
        <w:br w:type="page"/>
      </w:r>
    </w:p>
    <w:p w14:paraId="436C4443" w14:textId="7AE3726E" w:rsidR="00B25BB5" w:rsidRPr="009A7D14" w:rsidRDefault="00CB7EC4" w:rsidP="009A7D14">
      <w:pPr>
        <w:pStyle w:val="Heading2"/>
        <w:spacing w:after="240"/>
      </w:pPr>
      <w:r w:rsidRPr="009A7D14">
        <w:lastRenderedPageBreak/>
        <w:t>Calendar of Religious and Spiritual Observances</w:t>
      </w:r>
    </w:p>
    <w:tbl>
      <w:tblPr>
        <w:tblStyle w:val="TableGrid"/>
        <w:tblW w:w="10525" w:type="dxa"/>
        <w:tblLook w:val="04A0" w:firstRow="1" w:lastRow="0" w:firstColumn="1" w:lastColumn="0" w:noHBand="0" w:noVBand="1"/>
      </w:tblPr>
      <w:tblGrid>
        <w:gridCol w:w="2425"/>
        <w:gridCol w:w="3780"/>
        <w:gridCol w:w="4320"/>
      </w:tblGrid>
      <w:tr w:rsidR="00575142" w:rsidRPr="00575142" w14:paraId="0D0BA1CF" w14:textId="77777777" w:rsidTr="006C67F0">
        <w:trPr>
          <w:trHeight w:val="432"/>
          <w:tblHeader/>
        </w:trPr>
        <w:tc>
          <w:tcPr>
            <w:tcW w:w="2425" w:type="dxa"/>
            <w:shd w:val="clear" w:color="auto" w:fill="002D72"/>
            <w:vAlign w:val="center"/>
          </w:tcPr>
          <w:p w14:paraId="5D7504CE" w14:textId="77777777" w:rsidR="00575142" w:rsidRPr="009B0117" w:rsidRDefault="00575142" w:rsidP="004669B7">
            <w:pPr>
              <w:pStyle w:val="TableText"/>
              <w:rPr>
                <w:b/>
                <w:bCs/>
                <w:color w:val="FFFFFF" w:themeColor="background1"/>
              </w:rPr>
            </w:pPr>
            <w:r w:rsidRPr="009B0117">
              <w:rPr>
                <w:b/>
                <w:bCs/>
                <w:color w:val="FFFFFF" w:themeColor="background1"/>
              </w:rPr>
              <w:t>Date</w:t>
            </w:r>
          </w:p>
        </w:tc>
        <w:tc>
          <w:tcPr>
            <w:tcW w:w="3780" w:type="dxa"/>
            <w:shd w:val="clear" w:color="auto" w:fill="002D72"/>
            <w:vAlign w:val="center"/>
          </w:tcPr>
          <w:p w14:paraId="6D463A4F" w14:textId="77777777" w:rsidR="00575142" w:rsidRPr="009B0117" w:rsidRDefault="00575142" w:rsidP="004669B7">
            <w:pPr>
              <w:pStyle w:val="TableText"/>
              <w:rPr>
                <w:b/>
                <w:bCs/>
                <w:color w:val="FFFFFF" w:themeColor="background1"/>
              </w:rPr>
            </w:pPr>
            <w:r w:rsidRPr="009B0117">
              <w:rPr>
                <w:b/>
                <w:bCs/>
                <w:color w:val="FFFFFF" w:themeColor="background1"/>
              </w:rPr>
              <w:t>Observance</w:t>
            </w:r>
          </w:p>
        </w:tc>
        <w:tc>
          <w:tcPr>
            <w:tcW w:w="4320" w:type="dxa"/>
            <w:shd w:val="clear" w:color="auto" w:fill="002D72"/>
            <w:vAlign w:val="center"/>
          </w:tcPr>
          <w:p w14:paraId="3A37E2FC" w14:textId="77777777" w:rsidR="00575142" w:rsidRPr="009B0117" w:rsidRDefault="00575142" w:rsidP="004669B7">
            <w:pPr>
              <w:pStyle w:val="TableText"/>
              <w:rPr>
                <w:b/>
                <w:bCs/>
                <w:color w:val="FFFFFF" w:themeColor="background1"/>
              </w:rPr>
            </w:pPr>
            <w:r w:rsidRPr="009B0117">
              <w:rPr>
                <w:b/>
                <w:bCs/>
                <w:color w:val="FFFFFF" w:themeColor="background1"/>
              </w:rPr>
              <w:t>Religious Tradition</w:t>
            </w:r>
          </w:p>
        </w:tc>
      </w:tr>
      <w:tr w:rsidR="00575142" w:rsidRPr="00575142" w14:paraId="6E9B9140" w14:textId="77777777" w:rsidTr="006C67F0">
        <w:trPr>
          <w:trHeight w:val="432"/>
        </w:trPr>
        <w:tc>
          <w:tcPr>
            <w:tcW w:w="2425" w:type="dxa"/>
            <w:vAlign w:val="center"/>
          </w:tcPr>
          <w:p w14:paraId="124B47E3" w14:textId="77777777" w:rsidR="00575142" w:rsidRPr="00575142" w:rsidRDefault="00575142" w:rsidP="004669B7">
            <w:pPr>
              <w:pStyle w:val="TableText"/>
            </w:pPr>
            <w:r w:rsidRPr="00575142">
              <w:t>January 1</w:t>
            </w:r>
          </w:p>
        </w:tc>
        <w:tc>
          <w:tcPr>
            <w:tcW w:w="3780" w:type="dxa"/>
            <w:vAlign w:val="center"/>
          </w:tcPr>
          <w:p w14:paraId="6D118017" w14:textId="77777777" w:rsidR="00575142" w:rsidRPr="00575142" w:rsidRDefault="00575142" w:rsidP="004669B7">
            <w:pPr>
              <w:pStyle w:val="TableText"/>
            </w:pPr>
            <w:r w:rsidRPr="00575142">
              <w:t>Shogatsu/Gantan-sai</w:t>
            </w:r>
          </w:p>
        </w:tc>
        <w:tc>
          <w:tcPr>
            <w:tcW w:w="4320" w:type="dxa"/>
            <w:vAlign w:val="center"/>
          </w:tcPr>
          <w:p w14:paraId="536BEE23" w14:textId="77777777" w:rsidR="00575142" w:rsidRPr="00575142" w:rsidRDefault="00575142" w:rsidP="004669B7">
            <w:pPr>
              <w:pStyle w:val="TableText"/>
            </w:pPr>
            <w:r w:rsidRPr="00575142">
              <w:t>Shintoism</w:t>
            </w:r>
          </w:p>
        </w:tc>
      </w:tr>
      <w:tr w:rsidR="00575142" w:rsidRPr="00575142" w14:paraId="5B0D1BE9" w14:textId="77777777" w:rsidTr="006C67F0">
        <w:trPr>
          <w:trHeight w:val="432"/>
        </w:trPr>
        <w:tc>
          <w:tcPr>
            <w:tcW w:w="2425" w:type="dxa"/>
            <w:vAlign w:val="center"/>
          </w:tcPr>
          <w:p w14:paraId="61202A9A" w14:textId="77777777" w:rsidR="00575142" w:rsidRPr="00575142" w:rsidRDefault="00575142" w:rsidP="004669B7">
            <w:pPr>
              <w:pStyle w:val="TableText"/>
            </w:pPr>
            <w:r w:rsidRPr="00575142">
              <w:t>January 6</w:t>
            </w:r>
          </w:p>
        </w:tc>
        <w:tc>
          <w:tcPr>
            <w:tcW w:w="3780" w:type="dxa"/>
            <w:vAlign w:val="center"/>
          </w:tcPr>
          <w:p w14:paraId="2A0F346E" w14:textId="77777777" w:rsidR="00575142" w:rsidRPr="00575142" w:rsidRDefault="00575142" w:rsidP="004669B7">
            <w:pPr>
              <w:pStyle w:val="TableText"/>
            </w:pPr>
            <w:r w:rsidRPr="00575142">
              <w:t>Epiphany</w:t>
            </w:r>
          </w:p>
        </w:tc>
        <w:tc>
          <w:tcPr>
            <w:tcW w:w="4320" w:type="dxa"/>
            <w:vAlign w:val="center"/>
          </w:tcPr>
          <w:p w14:paraId="245B3BAD" w14:textId="77777777" w:rsidR="00575142" w:rsidRPr="00575142" w:rsidRDefault="00575142" w:rsidP="004669B7">
            <w:pPr>
              <w:pStyle w:val="TableText"/>
            </w:pPr>
            <w:r w:rsidRPr="00575142">
              <w:t>Christianity</w:t>
            </w:r>
          </w:p>
        </w:tc>
      </w:tr>
      <w:tr w:rsidR="00575142" w:rsidRPr="00575142" w14:paraId="6C958C73" w14:textId="77777777" w:rsidTr="006C67F0">
        <w:trPr>
          <w:trHeight w:val="432"/>
        </w:trPr>
        <w:tc>
          <w:tcPr>
            <w:tcW w:w="2425" w:type="dxa"/>
            <w:vAlign w:val="center"/>
          </w:tcPr>
          <w:p w14:paraId="20F49F1A" w14:textId="77777777" w:rsidR="00575142" w:rsidRPr="00575142" w:rsidRDefault="00575142" w:rsidP="004669B7">
            <w:pPr>
              <w:pStyle w:val="TableText"/>
            </w:pPr>
            <w:r w:rsidRPr="00575142">
              <w:t>January 6</w:t>
            </w:r>
          </w:p>
        </w:tc>
        <w:tc>
          <w:tcPr>
            <w:tcW w:w="3780" w:type="dxa"/>
            <w:vAlign w:val="center"/>
          </w:tcPr>
          <w:p w14:paraId="638859AC" w14:textId="77777777" w:rsidR="00575142" w:rsidRPr="00575142" w:rsidRDefault="00575142" w:rsidP="004669B7">
            <w:pPr>
              <w:pStyle w:val="TableText"/>
            </w:pPr>
            <w:r w:rsidRPr="00575142">
              <w:t>Guru Gobind Singh Jayanti</w:t>
            </w:r>
          </w:p>
        </w:tc>
        <w:tc>
          <w:tcPr>
            <w:tcW w:w="4320" w:type="dxa"/>
            <w:vAlign w:val="center"/>
          </w:tcPr>
          <w:p w14:paraId="00E5024A" w14:textId="77777777" w:rsidR="00575142" w:rsidRPr="00575142" w:rsidRDefault="00575142" w:rsidP="004669B7">
            <w:pPr>
              <w:pStyle w:val="TableText"/>
            </w:pPr>
            <w:r w:rsidRPr="00575142">
              <w:t>Sikhism</w:t>
            </w:r>
          </w:p>
        </w:tc>
      </w:tr>
      <w:tr w:rsidR="00575142" w:rsidRPr="00575142" w14:paraId="6A5CF0D2" w14:textId="77777777" w:rsidTr="006C67F0">
        <w:trPr>
          <w:trHeight w:val="432"/>
        </w:trPr>
        <w:tc>
          <w:tcPr>
            <w:tcW w:w="2425" w:type="dxa"/>
            <w:vAlign w:val="center"/>
          </w:tcPr>
          <w:p w14:paraId="403A0121" w14:textId="77777777" w:rsidR="00575142" w:rsidRPr="00575142" w:rsidRDefault="00575142" w:rsidP="004669B7">
            <w:pPr>
              <w:pStyle w:val="TableText"/>
            </w:pPr>
            <w:r w:rsidRPr="00575142">
              <w:t>January 8</w:t>
            </w:r>
          </w:p>
        </w:tc>
        <w:tc>
          <w:tcPr>
            <w:tcW w:w="3780" w:type="dxa"/>
            <w:vAlign w:val="center"/>
          </w:tcPr>
          <w:p w14:paraId="0C4A1CD8" w14:textId="77777777" w:rsidR="00575142" w:rsidRPr="00575142" w:rsidRDefault="00575142" w:rsidP="004669B7">
            <w:pPr>
              <w:pStyle w:val="TableText"/>
            </w:pPr>
            <w:r w:rsidRPr="00575142">
              <w:t>Feast of the Nativity/Christmas</w:t>
            </w:r>
          </w:p>
        </w:tc>
        <w:tc>
          <w:tcPr>
            <w:tcW w:w="4320" w:type="dxa"/>
            <w:vAlign w:val="center"/>
          </w:tcPr>
          <w:p w14:paraId="12413362" w14:textId="77777777" w:rsidR="00575142" w:rsidRPr="00575142" w:rsidRDefault="00575142" w:rsidP="004669B7">
            <w:pPr>
              <w:pStyle w:val="TableText"/>
            </w:pPr>
            <w:r w:rsidRPr="00575142">
              <w:t>Christianity (Orthodox)</w:t>
            </w:r>
          </w:p>
        </w:tc>
      </w:tr>
      <w:tr w:rsidR="00575142" w:rsidRPr="00575142" w14:paraId="59692C3C" w14:textId="77777777" w:rsidTr="006C67F0">
        <w:trPr>
          <w:trHeight w:val="432"/>
        </w:trPr>
        <w:tc>
          <w:tcPr>
            <w:tcW w:w="2425" w:type="dxa"/>
            <w:vAlign w:val="center"/>
          </w:tcPr>
          <w:p w14:paraId="0A8F874D" w14:textId="77777777" w:rsidR="00575142" w:rsidRPr="00575142" w:rsidRDefault="00575142" w:rsidP="004669B7">
            <w:pPr>
              <w:pStyle w:val="TableText"/>
            </w:pPr>
            <w:r w:rsidRPr="00575142">
              <w:t>January 15</w:t>
            </w:r>
          </w:p>
        </w:tc>
        <w:tc>
          <w:tcPr>
            <w:tcW w:w="3780" w:type="dxa"/>
            <w:vAlign w:val="center"/>
          </w:tcPr>
          <w:p w14:paraId="3F4654BD" w14:textId="77777777" w:rsidR="00575142" w:rsidRPr="00575142" w:rsidRDefault="00575142" w:rsidP="004669B7">
            <w:pPr>
              <w:pStyle w:val="TableText"/>
            </w:pPr>
            <w:r w:rsidRPr="00575142">
              <w:t>Makar Sankranti</w:t>
            </w:r>
          </w:p>
        </w:tc>
        <w:tc>
          <w:tcPr>
            <w:tcW w:w="4320" w:type="dxa"/>
            <w:vAlign w:val="center"/>
          </w:tcPr>
          <w:p w14:paraId="082DA03E" w14:textId="77777777" w:rsidR="00575142" w:rsidRPr="00575142" w:rsidRDefault="00575142" w:rsidP="004669B7">
            <w:pPr>
              <w:pStyle w:val="TableText"/>
            </w:pPr>
            <w:r w:rsidRPr="00575142">
              <w:t>Hinduism</w:t>
            </w:r>
          </w:p>
        </w:tc>
      </w:tr>
      <w:tr w:rsidR="00575142" w:rsidRPr="00575142" w14:paraId="1597A4CF" w14:textId="77777777" w:rsidTr="006C67F0">
        <w:trPr>
          <w:trHeight w:val="432"/>
        </w:trPr>
        <w:tc>
          <w:tcPr>
            <w:tcW w:w="2425" w:type="dxa"/>
            <w:vAlign w:val="center"/>
          </w:tcPr>
          <w:p w14:paraId="32D2DF1A" w14:textId="77777777" w:rsidR="00575142" w:rsidRPr="00575142" w:rsidRDefault="00575142" w:rsidP="004669B7">
            <w:pPr>
              <w:pStyle w:val="TableText"/>
            </w:pPr>
            <w:r w:rsidRPr="00575142">
              <w:t>January 26–27</w:t>
            </w:r>
          </w:p>
        </w:tc>
        <w:tc>
          <w:tcPr>
            <w:tcW w:w="3780" w:type="dxa"/>
            <w:vAlign w:val="center"/>
          </w:tcPr>
          <w:p w14:paraId="5EC5B219" w14:textId="77777777" w:rsidR="00575142" w:rsidRPr="00575142" w:rsidRDefault="00575142" w:rsidP="004669B7">
            <w:pPr>
              <w:pStyle w:val="TableText"/>
            </w:pPr>
            <w:r w:rsidRPr="00575142">
              <w:t>Lailat al-Ma’raj</w:t>
            </w:r>
          </w:p>
        </w:tc>
        <w:tc>
          <w:tcPr>
            <w:tcW w:w="4320" w:type="dxa"/>
            <w:vAlign w:val="center"/>
          </w:tcPr>
          <w:p w14:paraId="614E5820" w14:textId="77777777" w:rsidR="00575142" w:rsidRPr="00575142" w:rsidRDefault="00575142" w:rsidP="004669B7">
            <w:pPr>
              <w:pStyle w:val="TableText"/>
            </w:pPr>
            <w:r w:rsidRPr="00575142">
              <w:t>Islam</w:t>
            </w:r>
          </w:p>
        </w:tc>
      </w:tr>
      <w:tr w:rsidR="00575142" w:rsidRPr="00575142" w14:paraId="5D6C0FE2" w14:textId="77777777" w:rsidTr="006C67F0">
        <w:trPr>
          <w:trHeight w:val="432"/>
        </w:trPr>
        <w:tc>
          <w:tcPr>
            <w:tcW w:w="2425" w:type="dxa"/>
            <w:vAlign w:val="center"/>
          </w:tcPr>
          <w:p w14:paraId="759A633A" w14:textId="77777777" w:rsidR="00575142" w:rsidRPr="00575142" w:rsidRDefault="00575142" w:rsidP="004669B7">
            <w:pPr>
              <w:pStyle w:val="TableText"/>
            </w:pPr>
            <w:r w:rsidRPr="00575142">
              <w:t>January 29</w:t>
            </w:r>
          </w:p>
        </w:tc>
        <w:tc>
          <w:tcPr>
            <w:tcW w:w="3780" w:type="dxa"/>
            <w:vAlign w:val="center"/>
          </w:tcPr>
          <w:p w14:paraId="3EDD9398" w14:textId="77777777" w:rsidR="00575142" w:rsidRPr="00575142" w:rsidRDefault="00575142" w:rsidP="004669B7">
            <w:pPr>
              <w:pStyle w:val="TableText"/>
            </w:pPr>
            <w:r w:rsidRPr="00575142">
              <w:t>Lunar New Year (Chinese New Year)</w:t>
            </w:r>
          </w:p>
        </w:tc>
        <w:tc>
          <w:tcPr>
            <w:tcW w:w="4320" w:type="dxa"/>
            <w:vAlign w:val="center"/>
          </w:tcPr>
          <w:p w14:paraId="5573FADF" w14:textId="77777777" w:rsidR="00575142" w:rsidRPr="00575142" w:rsidRDefault="00575142" w:rsidP="004669B7">
            <w:pPr>
              <w:pStyle w:val="TableText"/>
            </w:pPr>
            <w:r w:rsidRPr="00575142">
              <w:t>Confucianism, Daoism, Buddhism</w:t>
            </w:r>
          </w:p>
        </w:tc>
      </w:tr>
      <w:tr w:rsidR="00575142" w:rsidRPr="00575142" w14:paraId="32966F5C" w14:textId="77777777" w:rsidTr="006C67F0">
        <w:trPr>
          <w:trHeight w:val="432"/>
        </w:trPr>
        <w:tc>
          <w:tcPr>
            <w:tcW w:w="2425" w:type="dxa"/>
            <w:vAlign w:val="center"/>
          </w:tcPr>
          <w:p w14:paraId="15AA26E6" w14:textId="69688C6C" w:rsidR="00575142" w:rsidRPr="00575142" w:rsidRDefault="00CC5822" w:rsidP="004669B7">
            <w:pPr>
              <w:pStyle w:val="TableText"/>
            </w:pPr>
            <w:r w:rsidRPr="00575142">
              <w:t xml:space="preserve">February </w:t>
            </w:r>
            <w:r w:rsidR="00575142" w:rsidRPr="00575142">
              <w:t>12</w:t>
            </w:r>
          </w:p>
        </w:tc>
        <w:tc>
          <w:tcPr>
            <w:tcW w:w="3780" w:type="dxa"/>
            <w:vAlign w:val="center"/>
          </w:tcPr>
          <w:p w14:paraId="3BA2F835" w14:textId="77777777" w:rsidR="00575142" w:rsidRPr="00575142" w:rsidRDefault="00575142" w:rsidP="004669B7">
            <w:pPr>
              <w:pStyle w:val="TableText"/>
            </w:pPr>
            <w:r w:rsidRPr="00575142">
              <w:t>Magha Puja Day</w:t>
            </w:r>
          </w:p>
        </w:tc>
        <w:tc>
          <w:tcPr>
            <w:tcW w:w="4320" w:type="dxa"/>
            <w:vAlign w:val="center"/>
          </w:tcPr>
          <w:p w14:paraId="7618DAFF" w14:textId="77777777" w:rsidR="00575142" w:rsidRPr="00575142" w:rsidRDefault="00575142" w:rsidP="004669B7">
            <w:pPr>
              <w:pStyle w:val="TableText"/>
            </w:pPr>
            <w:r w:rsidRPr="00575142">
              <w:t>Buddhism</w:t>
            </w:r>
          </w:p>
        </w:tc>
      </w:tr>
      <w:tr w:rsidR="00575142" w:rsidRPr="00575142" w14:paraId="60579867" w14:textId="77777777" w:rsidTr="006C67F0">
        <w:trPr>
          <w:trHeight w:val="432"/>
        </w:trPr>
        <w:tc>
          <w:tcPr>
            <w:tcW w:w="2425" w:type="dxa"/>
            <w:vAlign w:val="center"/>
          </w:tcPr>
          <w:p w14:paraId="503AE686" w14:textId="2F630207" w:rsidR="00575142" w:rsidRPr="00575142" w:rsidRDefault="00CC5822" w:rsidP="004669B7">
            <w:pPr>
              <w:pStyle w:val="TableText"/>
            </w:pPr>
            <w:r w:rsidRPr="00575142">
              <w:t xml:space="preserve">February </w:t>
            </w:r>
            <w:r w:rsidR="00575142" w:rsidRPr="00575142">
              <w:t>12–13</w:t>
            </w:r>
          </w:p>
        </w:tc>
        <w:tc>
          <w:tcPr>
            <w:tcW w:w="3780" w:type="dxa"/>
            <w:vAlign w:val="center"/>
          </w:tcPr>
          <w:p w14:paraId="7EAA952B" w14:textId="77777777" w:rsidR="00575142" w:rsidRPr="00575142" w:rsidRDefault="00575142" w:rsidP="004669B7">
            <w:pPr>
              <w:pStyle w:val="TableText"/>
            </w:pPr>
            <w:r w:rsidRPr="00575142">
              <w:t>Tu B’Shevat</w:t>
            </w:r>
          </w:p>
        </w:tc>
        <w:tc>
          <w:tcPr>
            <w:tcW w:w="4320" w:type="dxa"/>
            <w:vAlign w:val="center"/>
          </w:tcPr>
          <w:p w14:paraId="71298170" w14:textId="77777777" w:rsidR="00575142" w:rsidRPr="00575142" w:rsidRDefault="00575142" w:rsidP="004669B7">
            <w:pPr>
              <w:pStyle w:val="TableText"/>
            </w:pPr>
            <w:r w:rsidRPr="00575142">
              <w:t>Judaism</w:t>
            </w:r>
          </w:p>
        </w:tc>
      </w:tr>
      <w:tr w:rsidR="00575142" w:rsidRPr="00575142" w14:paraId="74565B9E" w14:textId="77777777" w:rsidTr="006C67F0">
        <w:trPr>
          <w:trHeight w:val="432"/>
        </w:trPr>
        <w:tc>
          <w:tcPr>
            <w:tcW w:w="2425" w:type="dxa"/>
            <w:vAlign w:val="center"/>
          </w:tcPr>
          <w:p w14:paraId="1B7E84DB" w14:textId="45D6D713" w:rsidR="00575142" w:rsidRPr="00575142" w:rsidRDefault="00CC5822" w:rsidP="004669B7">
            <w:pPr>
              <w:pStyle w:val="TableText"/>
            </w:pPr>
            <w:r w:rsidRPr="00575142">
              <w:t xml:space="preserve">February </w:t>
            </w:r>
            <w:r w:rsidR="00575142" w:rsidRPr="00575142">
              <w:t>25–28</w:t>
            </w:r>
          </w:p>
        </w:tc>
        <w:tc>
          <w:tcPr>
            <w:tcW w:w="3780" w:type="dxa"/>
            <w:vAlign w:val="center"/>
          </w:tcPr>
          <w:p w14:paraId="5FBB8C70" w14:textId="77777777" w:rsidR="00575142" w:rsidRPr="00575142" w:rsidRDefault="00575142" w:rsidP="004669B7">
            <w:pPr>
              <w:pStyle w:val="TableText"/>
            </w:pPr>
            <w:r w:rsidRPr="00575142">
              <w:t>Ayyám-i-Há Baha'i</w:t>
            </w:r>
          </w:p>
        </w:tc>
        <w:tc>
          <w:tcPr>
            <w:tcW w:w="4320" w:type="dxa"/>
            <w:vAlign w:val="center"/>
          </w:tcPr>
          <w:p w14:paraId="39079E72" w14:textId="77777777" w:rsidR="00575142" w:rsidRPr="00575142" w:rsidRDefault="00575142" w:rsidP="004669B7">
            <w:pPr>
              <w:pStyle w:val="TableText"/>
            </w:pPr>
            <w:r w:rsidRPr="00575142">
              <w:t>Baháʼí</w:t>
            </w:r>
          </w:p>
        </w:tc>
      </w:tr>
      <w:tr w:rsidR="00575142" w:rsidRPr="00575142" w14:paraId="596AFC05" w14:textId="77777777" w:rsidTr="006C67F0">
        <w:trPr>
          <w:trHeight w:val="432"/>
        </w:trPr>
        <w:tc>
          <w:tcPr>
            <w:tcW w:w="2425" w:type="dxa"/>
            <w:vAlign w:val="center"/>
          </w:tcPr>
          <w:p w14:paraId="3005C54B" w14:textId="1DD5992A" w:rsidR="00575142" w:rsidRPr="00575142" w:rsidRDefault="00CC5822" w:rsidP="004669B7">
            <w:pPr>
              <w:pStyle w:val="TableText"/>
            </w:pPr>
            <w:r w:rsidRPr="00575142">
              <w:t xml:space="preserve">February </w:t>
            </w:r>
            <w:r w:rsidR="00575142" w:rsidRPr="00575142">
              <w:t>26</w:t>
            </w:r>
          </w:p>
        </w:tc>
        <w:tc>
          <w:tcPr>
            <w:tcW w:w="3780" w:type="dxa"/>
            <w:vAlign w:val="center"/>
          </w:tcPr>
          <w:p w14:paraId="686EA2B0" w14:textId="77777777" w:rsidR="00575142" w:rsidRPr="00575142" w:rsidRDefault="00575142" w:rsidP="004669B7">
            <w:pPr>
              <w:pStyle w:val="TableText"/>
            </w:pPr>
            <w:r w:rsidRPr="00575142">
              <w:t>Maha Shivaratri</w:t>
            </w:r>
          </w:p>
        </w:tc>
        <w:tc>
          <w:tcPr>
            <w:tcW w:w="4320" w:type="dxa"/>
            <w:vAlign w:val="center"/>
          </w:tcPr>
          <w:p w14:paraId="77642EF9" w14:textId="77777777" w:rsidR="00575142" w:rsidRPr="00575142" w:rsidRDefault="00575142" w:rsidP="004669B7">
            <w:pPr>
              <w:pStyle w:val="TableText"/>
            </w:pPr>
            <w:r w:rsidRPr="00575142">
              <w:t>Hinduism</w:t>
            </w:r>
          </w:p>
        </w:tc>
      </w:tr>
      <w:tr w:rsidR="00575142" w:rsidRPr="00575142" w14:paraId="0817977B" w14:textId="77777777" w:rsidTr="006C67F0">
        <w:trPr>
          <w:trHeight w:val="432"/>
        </w:trPr>
        <w:tc>
          <w:tcPr>
            <w:tcW w:w="2425" w:type="dxa"/>
            <w:vAlign w:val="center"/>
          </w:tcPr>
          <w:p w14:paraId="78532581" w14:textId="77777777" w:rsidR="00575142" w:rsidRPr="00575142" w:rsidRDefault="00575142" w:rsidP="004669B7">
            <w:pPr>
              <w:pStyle w:val="TableText"/>
            </w:pPr>
            <w:r w:rsidRPr="00575142">
              <w:t>February 28–March 2</w:t>
            </w:r>
          </w:p>
        </w:tc>
        <w:tc>
          <w:tcPr>
            <w:tcW w:w="3780" w:type="dxa"/>
            <w:vAlign w:val="center"/>
          </w:tcPr>
          <w:p w14:paraId="28D2AFF7" w14:textId="77777777" w:rsidR="00575142" w:rsidRPr="00575142" w:rsidRDefault="00575142" w:rsidP="004669B7">
            <w:pPr>
              <w:pStyle w:val="TableText"/>
            </w:pPr>
            <w:r w:rsidRPr="00575142">
              <w:t>Losar (Tibetan New Year)</w:t>
            </w:r>
          </w:p>
        </w:tc>
        <w:tc>
          <w:tcPr>
            <w:tcW w:w="4320" w:type="dxa"/>
            <w:vAlign w:val="center"/>
          </w:tcPr>
          <w:p w14:paraId="35B55200" w14:textId="77777777" w:rsidR="00575142" w:rsidRPr="00575142" w:rsidRDefault="00575142" w:rsidP="004669B7">
            <w:pPr>
              <w:pStyle w:val="TableText"/>
            </w:pPr>
            <w:r w:rsidRPr="00575142">
              <w:t>Buddhism</w:t>
            </w:r>
          </w:p>
        </w:tc>
      </w:tr>
      <w:tr w:rsidR="00575142" w:rsidRPr="00575142" w14:paraId="0741C259" w14:textId="77777777" w:rsidTr="006C67F0">
        <w:trPr>
          <w:trHeight w:val="432"/>
        </w:trPr>
        <w:tc>
          <w:tcPr>
            <w:tcW w:w="2425" w:type="dxa"/>
            <w:vAlign w:val="center"/>
          </w:tcPr>
          <w:p w14:paraId="0C1AF61F" w14:textId="77777777" w:rsidR="00575142" w:rsidRPr="00575142" w:rsidRDefault="00575142" w:rsidP="004669B7">
            <w:pPr>
              <w:pStyle w:val="TableText"/>
            </w:pPr>
            <w:r w:rsidRPr="00575142">
              <w:t>February 28–March 30</w:t>
            </w:r>
          </w:p>
        </w:tc>
        <w:tc>
          <w:tcPr>
            <w:tcW w:w="3780" w:type="dxa"/>
            <w:vAlign w:val="center"/>
          </w:tcPr>
          <w:p w14:paraId="0160ABBA" w14:textId="77777777" w:rsidR="00575142" w:rsidRPr="00575142" w:rsidRDefault="00575142" w:rsidP="004669B7">
            <w:pPr>
              <w:pStyle w:val="TableText"/>
            </w:pPr>
            <w:r w:rsidRPr="00575142">
              <w:t>Ramadan</w:t>
            </w:r>
          </w:p>
        </w:tc>
        <w:tc>
          <w:tcPr>
            <w:tcW w:w="4320" w:type="dxa"/>
            <w:vAlign w:val="center"/>
          </w:tcPr>
          <w:p w14:paraId="74A8B557" w14:textId="77777777" w:rsidR="00575142" w:rsidRPr="00575142" w:rsidRDefault="00575142" w:rsidP="004669B7">
            <w:pPr>
              <w:pStyle w:val="TableText"/>
            </w:pPr>
            <w:r w:rsidRPr="00575142">
              <w:t>Islam</w:t>
            </w:r>
          </w:p>
        </w:tc>
      </w:tr>
      <w:tr w:rsidR="00575142" w:rsidRPr="00575142" w14:paraId="3DED64B0" w14:textId="77777777" w:rsidTr="006C67F0">
        <w:trPr>
          <w:trHeight w:val="432"/>
        </w:trPr>
        <w:tc>
          <w:tcPr>
            <w:tcW w:w="2425" w:type="dxa"/>
            <w:vAlign w:val="center"/>
          </w:tcPr>
          <w:p w14:paraId="00C97307" w14:textId="77777777" w:rsidR="00575142" w:rsidRPr="00575142" w:rsidRDefault="00575142" w:rsidP="004669B7">
            <w:pPr>
              <w:pStyle w:val="TableText"/>
            </w:pPr>
            <w:r w:rsidRPr="00575142">
              <w:t>March 1–19</w:t>
            </w:r>
          </w:p>
        </w:tc>
        <w:tc>
          <w:tcPr>
            <w:tcW w:w="3780" w:type="dxa"/>
            <w:vAlign w:val="center"/>
          </w:tcPr>
          <w:p w14:paraId="4B4E8AD7" w14:textId="77777777" w:rsidR="00575142" w:rsidRPr="00575142" w:rsidRDefault="00575142" w:rsidP="004669B7">
            <w:pPr>
              <w:pStyle w:val="TableText"/>
            </w:pPr>
            <w:r w:rsidRPr="00575142">
              <w:t>Month of Fast</w:t>
            </w:r>
          </w:p>
        </w:tc>
        <w:tc>
          <w:tcPr>
            <w:tcW w:w="4320" w:type="dxa"/>
            <w:vAlign w:val="center"/>
          </w:tcPr>
          <w:p w14:paraId="1F3135E5" w14:textId="77777777" w:rsidR="00575142" w:rsidRPr="00575142" w:rsidRDefault="00575142" w:rsidP="004669B7">
            <w:pPr>
              <w:pStyle w:val="TableText"/>
            </w:pPr>
            <w:r w:rsidRPr="00575142">
              <w:t>Baháʼí</w:t>
            </w:r>
          </w:p>
        </w:tc>
      </w:tr>
      <w:tr w:rsidR="00575142" w:rsidRPr="00575142" w14:paraId="710E4711" w14:textId="77777777" w:rsidTr="006C67F0">
        <w:trPr>
          <w:trHeight w:val="432"/>
        </w:trPr>
        <w:tc>
          <w:tcPr>
            <w:tcW w:w="2425" w:type="dxa"/>
            <w:vAlign w:val="center"/>
          </w:tcPr>
          <w:p w14:paraId="573C8D40" w14:textId="77777777" w:rsidR="00575142" w:rsidRPr="00575142" w:rsidRDefault="00575142" w:rsidP="004669B7">
            <w:pPr>
              <w:pStyle w:val="TableText"/>
            </w:pPr>
            <w:r w:rsidRPr="00575142">
              <w:t>March 3</w:t>
            </w:r>
          </w:p>
        </w:tc>
        <w:tc>
          <w:tcPr>
            <w:tcW w:w="3780" w:type="dxa"/>
            <w:vAlign w:val="center"/>
          </w:tcPr>
          <w:p w14:paraId="4903BDDF" w14:textId="77777777" w:rsidR="00575142" w:rsidRPr="00575142" w:rsidRDefault="00575142" w:rsidP="004669B7">
            <w:pPr>
              <w:pStyle w:val="TableText"/>
            </w:pPr>
            <w:r w:rsidRPr="00575142">
              <w:t>Clean Monday</w:t>
            </w:r>
          </w:p>
        </w:tc>
        <w:tc>
          <w:tcPr>
            <w:tcW w:w="4320" w:type="dxa"/>
            <w:vAlign w:val="center"/>
          </w:tcPr>
          <w:p w14:paraId="2F97E3E3" w14:textId="77777777" w:rsidR="00575142" w:rsidRPr="00575142" w:rsidRDefault="00575142" w:rsidP="004669B7">
            <w:pPr>
              <w:pStyle w:val="TableText"/>
            </w:pPr>
            <w:r w:rsidRPr="00575142">
              <w:t>Christianity (Orthodox)</w:t>
            </w:r>
          </w:p>
        </w:tc>
      </w:tr>
      <w:tr w:rsidR="00575142" w:rsidRPr="00575142" w14:paraId="66BA7D45" w14:textId="77777777" w:rsidTr="006C67F0">
        <w:trPr>
          <w:trHeight w:val="432"/>
        </w:trPr>
        <w:tc>
          <w:tcPr>
            <w:tcW w:w="2425" w:type="dxa"/>
            <w:vAlign w:val="center"/>
          </w:tcPr>
          <w:p w14:paraId="4BC93B94" w14:textId="77777777" w:rsidR="00575142" w:rsidRPr="00575142" w:rsidRDefault="00575142" w:rsidP="004669B7">
            <w:pPr>
              <w:pStyle w:val="TableText"/>
            </w:pPr>
            <w:r w:rsidRPr="00575142">
              <w:t>March 5</w:t>
            </w:r>
          </w:p>
        </w:tc>
        <w:tc>
          <w:tcPr>
            <w:tcW w:w="3780" w:type="dxa"/>
            <w:vAlign w:val="center"/>
          </w:tcPr>
          <w:p w14:paraId="01FF85E5" w14:textId="77777777" w:rsidR="00575142" w:rsidRPr="00575142" w:rsidRDefault="00575142" w:rsidP="004669B7">
            <w:pPr>
              <w:pStyle w:val="TableText"/>
            </w:pPr>
            <w:r w:rsidRPr="00575142">
              <w:t>Ash Wednesday and Lent</w:t>
            </w:r>
          </w:p>
        </w:tc>
        <w:tc>
          <w:tcPr>
            <w:tcW w:w="4320" w:type="dxa"/>
            <w:vAlign w:val="center"/>
          </w:tcPr>
          <w:p w14:paraId="42C04F99" w14:textId="77777777" w:rsidR="00575142" w:rsidRPr="00575142" w:rsidRDefault="00575142" w:rsidP="004669B7">
            <w:pPr>
              <w:pStyle w:val="TableText"/>
            </w:pPr>
            <w:r w:rsidRPr="00575142">
              <w:t>Christianity (Roman Catholic, Protestant)</w:t>
            </w:r>
          </w:p>
        </w:tc>
      </w:tr>
      <w:tr w:rsidR="00575142" w:rsidRPr="00575142" w14:paraId="19B7DB38" w14:textId="77777777" w:rsidTr="006C67F0">
        <w:trPr>
          <w:trHeight w:val="432"/>
        </w:trPr>
        <w:tc>
          <w:tcPr>
            <w:tcW w:w="2425" w:type="dxa"/>
            <w:vAlign w:val="center"/>
          </w:tcPr>
          <w:p w14:paraId="1B64A4FF" w14:textId="77777777" w:rsidR="00575142" w:rsidRPr="00575142" w:rsidRDefault="00575142" w:rsidP="004669B7">
            <w:pPr>
              <w:pStyle w:val="TableText"/>
            </w:pPr>
            <w:r w:rsidRPr="00575142">
              <w:t>March 13–14</w:t>
            </w:r>
          </w:p>
        </w:tc>
        <w:tc>
          <w:tcPr>
            <w:tcW w:w="3780" w:type="dxa"/>
            <w:vAlign w:val="center"/>
          </w:tcPr>
          <w:p w14:paraId="7F1A97CF" w14:textId="77777777" w:rsidR="00575142" w:rsidRPr="00575142" w:rsidRDefault="00575142" w:rsidP="004669B7">
            <w:pPr>
              <w:pStyle w:val="TableText"/>
            </w:pPr>
            <w:r w:rsidRPr="00575142">
              <w:t>Purim</w:t>
            </w:r>
          </w:p>
        </w:tc>
        <w:tc>
          <w:tcPr>
            <w:tcW w:w="4320" w:type="dxa"/>
            <w:vAlign w:val="center"/>
          </w:tcPr>
          <w:p w14:paraId="3A3EE3D9" w14:textId="77777777" w:rsidR="00575142" w:rsidRPr="00575142" w:rsidRDefault="00575142" w:rsidP="004669B7">
            <w:pPr>
              <w:pStyle w:val="TableText"/>
            </w:pPr>
            <w:r w:rsidRPr="00575142">
              <w:t>Judaism</w:t>
            </w:r>
          </w:p>
        </w:tc>
      </w:tr>
      <w:tr w:rsidR="00575142" w:rsidRPr="00575142" w14:paraId="2C60356D" w14:textId="77777777" w:rsidTr="006C67F0">
        <w:trPr>
          <w:trHeight w:val="432"/>
        </w:trPr>
        <w:tc>
          <w:tcPr>
            <w:tcW w:w="2425" w:type="dxa"/>
            <w:vAlign w:val="center"/>
          </w:tcPr>
          <w:p w14:paraId="3D61AF96" w14:textId="77777777" w:rsidR="00575142" w:rsidRPr="00575142" w:rsidRDefault="00575142" w:rsidP="004669B7">
            <w:pPr>
              <w:pStyle w:val="TableText"/>
            </w:pPr>
            <w:r w:rsidRPr="00575142">
              <w:t>March 13–14</w:t>
            </w:r>
          </w:p>
        </w:tc>
        <w:tc>
          <w:tcPr>
            <w:tcW w:w="3780" w:type="dxa"/>
            <w:vAlign w:val="center"/>
          </w:tcPr>
          <w:p w14:paraId="6799E8D4" w14:textId="77777777" w:rsidR="00575142" w:rsidRPr="00575142" w:rsidRDefault="00575142" w:rsidP="004669B7">
            <w:pPr>
              <w:pStyle w:val="TableText"/>
            </w:pPr>
            <w:r w:rsidRPr="00575142">
              <w:t>Ta’anit Esther</w:t>
            </w:r>
          </w:p>
        </w:tc>
        <w:tc>
          <w:tcPr>
            <w:tcW w:w="4320" w:type="dxa"/>
            <w:vAlign w:val="center"/>
          </w:tcPr>
          <w:p w14:paraId="1685F6F8" w14:textId="77777777" w:rsidR="00575142" w:rsidRPr="00575142" w:rsidRDefault="00575142" w:rsidP="004669B7">
            <w:pPr>
              <w:pStyle w:val="TableText"/>
            </w:pPr>
            <w:r w:rsidRPr="00575142">
              <w:t>Judaism</w:t>
            </w:r>
          </w:p>
        </w:tc>
      </w:tr>
      <w:tr w:rsidR="00575142" w:rsidRPr="00575142" w14:paraId="5E97C9A3" w14:textId="77777777" w:rsidTr="006C67F0">
        <w:trPr>
          <w:trHeight w:val="432"/>
        </w:trPr>
        <w:tc>
          <w:tcPr>
            <w:tcW w:w="2425" w:type="dxa"/>
            <w:vAlign w:val="center"/>
          </w:tcPr>
          <w:p w14:paraId="01EE6C52" w14:textId="77777777" w:rsidR="00575142" w:rsidRPr="00575142" w:rsidRDefault="00575142" w:rsidP="004669B7">
            <w:pPr>
              <w:pStyle w:val="TableText"/>
            </w:pPr>
            <w:r w:rsidRPr="00575142">
              <w:t>March 14</w:t>
            </w:r>
          </w:p>
        </w:tc>
        <w:tc>
          <w:tcPr>
            <w:tcW w:w="3780" w:type="dxa"/>
            <w:vAlign w:val="center"/>
          </w:tcPr>
          <w:p w14:paraId="32BE3179" w14:textId="77777777" w:rsidR="00575142" w:rsidRPr="00575142" w:rsidRDefault="00575142" w:rsidP="004669B7">
            <w:pPr>
              <w:pStyle w:val="TableText"/>
            </w:pPr>
            <w:r w:rsidRPr="00575142">
              <w:t>Holi</w:t>
            </w:r>
          </w:p>
        </w:tc>
        <w:tc>
          <w:tcPr>
            <w:tcW w:w="4320" w:type="dxa"/>
            <w:vAlign w:val="center"/>
          </w:tcPr>
          <w:p w14:paraId="457CC4D4" w14:textId="77777777" w:rsidR="00575142" w:rsidRPr="00575142" w:rsidRDefault="00575142" w:rsidP="004669B7">
            <w:pPr>
              <w:pStyle w:val="TableText"/>
            </w:pPr>
            <w:r w:rsidRPr="00575142">
              <w:t>Hinduism/Sikhism/Jainism</w:t>
            </w:r>
          </w:p>
        </w:tc>
      </w:tr>
      <w:tr w:rsidR="00575142" w:rsidRPr="00575142" w14:paraId="11B6247E" w14:textId="77777777" w:rsidTr="006C67F0">
        <w:trPr>
          <w:trHeight w:val="432"/>
        </w:trPr>
        <w:tc>
          <w:tcPr>
            <w:tcW w:w="2425" w:type="dxa"/>
            <w:vAlign w:val="center"/>
          </w:tcPr>
          <w:p w14:paraId="001F5D24" w14:textId="77777777" w:rsidR="00575142" w:rsidRPr="00575142" w:rsidRDefault="00575142" w:rsidP="004669B7">
            <w:pPr>
              <w:pStyle w:val="TableText"/>
            </w:pPr>
            <w:r w:rsidRPr="00575142">
              <w:t>March 14</w:t>
            </w:r>
          </w:p>
        </w:tc>
        <w:tc>
          <w:tcPr>
            <w:tcW w:w="3780" w:type="dxa"/>
            <w:vAlign w:val="center"/>
          </w:tcPr>
          <w:p w14:paraId="4E44E945" w14:textId="77777777" w:rsidR="00575142" w:rsidRPr="00575142" w:rsidRDefault="00575142" w:rsidP="004669B7">
            <w:pPr>
              <w:pStyle w:val="TableText"/>
            </w:pPr>
            <w:r w:rsidRPr="00575142">
              <w:t>Tao-te Tien-tsun</w:t>
            </w:r>
          </w:p>
        </w:tc>
        <w:tc>
          <w:tcPr>
            <w:tcW w:w="4320" w:type="dxa"/>
            <w:vAlign w:val="center"/>
          </w:tcPr>
          <w:p w14:paraId="44B5E8F0" w14:textId="77777777" w:rsidR="00575142" w:rsidRPr="00575142" w:rsidRDefault="00575142" w:rsidP="004669B7">
            <w:pPr>
              <w:pStyle w:val="TableText"/>
            </w:pPr>
            <w:r w:rsidRPr="00575142">
              <w:t>Taoism</w:t>
            </w:r>
          </w:p>
        </w:tc>
      </w:tr>
      <w:tr w:rsidR="00575142" w:rsidRPr="00575142" w14:paraId="1C9145DF" w14:textId="77777777" w:rsidTr="006C67F0">
        <w:trPr>
          <w:trHeight w:val="432"/>
        </w:trPr>
        <w:tc>
          <w:tcPr>
            <w:tcW w:w="2425" w:type="dxa"/>
            <w:vAlign w:val="center"/>
          </w:tcPr>
          <w:p w14:paraId="13A2BF6E" w14:textId="77777777" w:rsidR="00575142" w:rsidRPr="00575142" w:rsidRDefault="00575142" w:rsidP="004669B7">
            <w:pPr>
              <w:pStyle w:val="TableText"/>
            </w:pPr>
            <w:r w:rsidRPr="00575142">
              <w:t>March 20</w:t>
            </w:r>
          </w:p>
        </w:tc>
        <w:tc>
          <w:tcPr>
            <w:tcW w:w="3780" w:type="dxa"/>
            <w:vAlign w:val="center"/>
          </w:tcPr>
          <w:p w14:paraId="6596A7A4" w14:textId="77777777" w:rsidR="00575142" w:rsidRPr="00575142" w:rsidRDefault="00575142" w:rsidP="004669B7">
            <w:pPr>
              <w:pStyle w:val="TableText"/>
            </w:pPr>
            <w:r w:rsidRPr="00575142">
              <w:t>Nowruz (Iranian New Year)</w:t>
            </w:r>
          </w:p>
        </w:tc>
        <w:tc>
          <w:tcPr>
            <w:tcW w:w="4320" w:type="dxa"/>
            <w:vAlign w:val="center"/>
          </w:tcPr>
          <w:p w14:paraId="5FAA1FC2" w14:textId="77777777" w:rsidR="00575142" w:rsidRPr="00575142" w:rsidRDefault="00575142" w:rsidP="004669B7">
            <w:pPr>
              <w:pStyle w:val="TableText"/>
            </w:pPr>
            <w:r w:rsidRPr="00575142">
              <w:t>Zoroastrianism/ Baháʼí</w:t>
            </w:r>
          </w:p>
        </w:tc>
      </w:tr>
      <w:tr w:rsidR="00575142" w:rsidRPr="00575142" w14:paraId="52A2C0F8" w14:textId="77777777" w:rsidTr="006C67F0">
        <w:trPr>
          <w:trHeight w:val="432"/>
        </w:trPr>
        <w:tc>
          <w:tcPr>
            <w:tcW w:w="2425" w:type="dxa"/>
            <w:vAlign w:val="center"/>
          </w:tcPr>
          <w:p w14:paraId="0C32412D" w14:textId="77777777" w:rsidR="00575142" w:rsidRPr="00575142" w:rsidRDefault="00575142" w:rsidP="004669B7">
            <w:pPr>
              <w:pStyle w:val="TableText"/>
            </w:pPr>
            <w:r w:rsidRPr="00575142">
              <w:t>March 29–30</w:t>
            </w:r>
          </w:p>
        </w:tc>
        <w:tc>
          <w:tcPr>
            <w:tcW w:w="3780" w:type="dxa"/>
            <w:vAlign w:val="center"/>
          </w:tcPr>
          <w:p w14:paraId="7EFB018F" w14:textId="77777777" w:rsidR="00575142" w:rsidRPr="00575142" w:rsidRDefault="00575142" w:rsidP="004669B7">
            <w:pPr>
              <w:pStyle w:val="TableText"/>
            </w:pPr>
            <w:r w:rsidRPr="00575142">
              <w:t>Eid-al-Fitr</w:t>
            </w:r>
          </w:p>
        </w:tc>
        <w:tc>
          <w:tcPr>
            <w:tcW w:w="4320" w:type="dxa"/>
            <w:vAlign w:val="center"/>
          </w:tcPr>
          <w:p w14:paraId="7E77BD36" w14:textId="77777777" w:rsidR="00575142" w:rsidRPr="00575142" w:rsidRDefault="00575142" w:rsidP="004669B7">
            <w:pPr>
              <w:pStyle w:val="TableText"/>
            </w:pPr>
            <w:r w:rsidRPr="00575142">
              <w:t>Islam</w:t>
            </w:r>
          </w:p>
        </w:tc>
      </w:tr>
      <w:tr w:rsidR="00575142" w:rsidRPr="00575142" w14:paraId="56963715" w14:textId="77777777" w:rsidTr="006C67F0">
        <w:trPr>
          <w:trHeight w:val="432"/>
        </w:trPr>
        <w:tc>
          <w:tcPr>
            <w:tcW w:w="2425" w:type="dxa"/>
            <w:vAlign w:val="center"/>
          </w:tcPr>
          <w:p w14:paraId="48D1C9C7" w14:textId="77777777" w:rsidR="00575142" w:rsidRPr="00575142" w:rsidRDefault="00575142" w:rsidP="004669B7">
            <w:pPr>
              <w:pStyle w:val="TableText"/>
            </w:pPr>
            <w:r w:rsidRPr="00575142">
              <w:t>April 10</w:t>
            </w:r>
          </w:p>
        </w:tc>
        <w:tc>
          <w:tcPr>
            <w:tcW w:w="3780" w:type="dxa"/>
            <w:vAlign w:val="center"/>
          </w:tcPr>
          <w:p w14:paraId="3336AF69" w14:textId="77777777" w:rsidR="00575142" w:rsidRPr="00575142" w:rsidRDefault="00575142" w:rsidP="004669B7">
            <w:pPr>
              <w:pStyle w:val="TableText"/>
            </w:pPr>
            <w:r w:rsidRPr="00575142">
              <w:t>Mahavir Jayanti</w:t>
            </w:r>
          </w:p>
        </w:tc>
        <w:tc>
          <w:tcPr>
            <w:tcW w:w="4320" w:type="dxa"/>
            <w:vAlign w:val="center"/>
          </w:tcPr>
          <w:p w14:paraId="53F419FF" w14:textId="77777777" w:rsidR="00575142" w:rsidRPr="00575142" w:rsidRDefault="00575142" w:rsidP="004669B7">
            <w:pPr>
              <w:pStyle w:val="TableText"/>
            </w:pPr>
            <w:r w:rsidRPr="00575142">
              <w:t>Jainism</w:t>
            </w:r>
          </w:p>
        </w:tc>
      </w:tr>
      <w:tr w:rsidR="00575142" w:rsidRPr="00575142" w14:paraId="2BE2B104" w14:textId="77777777" w:rsidTr="006C67F0">
        <w:trPr>
          <w:trHeight w:val="432"/>
        </w:trPr>
        <w:tc>
          <w:tcPr>
            <w:tcW w:w="2425" w:type="dxa"/>
            <w:vAlign w:val="center"/>
          </w:tcPr>
          <w:p w14:paraId="5BCC0C99" w14:textId="77777777" w:rsidR="00575142" w:rsidRPr="00575142" w:rsidRDefault="00575142" w:rsidP="004669B7">
            <w:pPr>
              <w:pStyle w:val="TableText"/>
            </w:pPr>
            <w:r w:rsidRPr="00575142">
              <w:t>April 12–20</w:t>
            </w:r>
          </w:p>
        </w:tc>
        <w:tc>
          <w:tcPr>
            <w:tcW w:w="3780" w:type="dxa"/>
            <w:vAlign w:val="center"/>
          </w:tcPr>
          <w:p w14:paraId="3E0C3FF8" w14:textId="77777777" w:rsidR="00575142" w:rsidRPr="00575142" w:rsidRDefault="00575142" w:rsidP="004669B7">
            <w:pPr>
              <w:pStyle w:val="TableText"/>
            </w:pPr>
            <w:r w:rsidRPr="00575142">
              <w:t>Pesach/Passover</w:t>
            </w:r>
          </w:p>
        </w:tc>
        <w:tc>
          <w:tcPr>
            <w:tcW w:w="4320" w:type="dxa"/>
            <w:vAlign w:val="center"/>
          </w:tcPr>
          <w:p w14:paraId="76FEE6A1" w14:textId="77777777" w:rsidR="00575142" w:rsidRPr="00575142" w:rsidRDefault="00575142" w:rsidP="004669B7">
            <w:pPr>
              <w:pStyle w:val="TableText"/>
            </w:pPr>
            <w:r w:rsidRPr="00575142">
              <w:t>Judaism</w:t>
            </w:r>
          </w:p>
        </w:tc>
      </w:tr>
      <w:tr w:rsidR="00575142" w:rsidRPr="00575142" w14:paraId="3CC838A4" w14:textId="77777777" w:rsidTr="006C67F0">
        <w:trPr>
          <w:trHeight w:val="432"/>
        </w:trPr>
        <w:tc>
          <w:tcPr>
            <w:tcW w:w="2425" w:type="dxa"/>
            <w:vAlign w:val="center"/>
          </w:tcPr>
          <w:p w14:paraId="32ADA9F7" w14:textId="77777777" w:rsidR="00575142" w:rsidRPr="00575142" w:rsidRDefault="00575142" w:rsidP="004669B7">
            <w:pPr>
              <w:pStyle w:val="TableText"/>
            </w:pPr>
            <w:r w:rsidRPr="00575142">
              <w:lastRenderedPageBreak/>
              <w:t>April 12</w:t>
            </w:r>
          </w:p>
        </w:tc>
        <w:tc>
          <w:tcPr>
            <w:tcW w:w="3780" w:type="dxa"/>
            <w:vAlign w:val="center"/>
          </w:tcPr>
          <w:p w14:paraId="4B5E3575" w14:textId="77777777" w:rsidR="00575142" w:rsidRPr="00575142" w:rsidRDefault="00575142" w:rsidP="004669B7">
            <w:pPr>
              <w:pStyle w:val="TableText"/>
            </w:pPr>
            <w:r w:rsidRPr="00575142">
              <w:t>Memorial Day</w:t>
            </w:r>
          </w:p>
        </w:tc>
        <w:tc>
          <w:tcPr>
            <w:tcW w:w="4320" w:type="dxa"/>
            <w:vAlign w:val="center"/>
          </w:tcPr>
          <w:p w14:paraId="7835A357" w14:textId="77777777" w:rsidR="00575142" w:rsidRPr="00575142" w:rsidRDefault="00575142" w:rsidP="004669B7">
            <w:pPr>
              <w:pStyle w:val="TableText"/>
            </w:pPr>
            <w:r w:rsidRPr="00575142">
              <w:t>Jehovah’s Witnesses</w:t>
            </w:r>
          </w:p>
        </w:tc>
      </w:tr>
      <w:tr w:rsidR="00575142" w:rsidRPr="00575142" w14:paraId="68C8CD79" w14:textId="77777777" w:rsidTr="006C67F0">
        <w:trPr>
          <w:trHeight w:val="432"/>
        </w:trPr>
        <w:tc>
          <w:tcPr>
            <w:tcW w:w="2425" w:type="dxa"/>
            <w:vAlign w:val="center"/>
          </w:tcPr>
          <w:p w14:paraId="6831C4F7" w14:textId="77777777" w:rsidR="00575142" w:rsidRPr="00575142" w:rsidRDefault="00575142" w:rsidP="004669B7">
            <w:pPr>
              <w:pStyle w:val="TableText"/>
            </w:pPr>
            <w:r w:rsidRPr="00575142">
              <w:t>April 13</w:t>
            </w:r>
          </w:p>
        </w:tc>
        <w:tc>
          <w:tcPr>
            <w:tcW w:w="3780" w:type="dxa"/>
            <w:vAlign w:val="center"/>
          </w:tcPr>
          <w:p w14:paraId="585E2C51" w14:textId="77777777" w:rsidR="00575142" w:rsidRPr="00575142" w:rsidRDefault="00575142" w:rsidP="004669B7">
            <w:pPr>
              <w:pStyle w:val="TableText"/>
            </w:pPr>
            <w:r w:rsidRPr="00575142">
              <w:t>Palm Sunday</w:t>
            </w:r>
          </w:p>
        </w:tc>
        <w:tc>
          <w:tcPr>
            <w:tcW w:w="4320" w:type="dxa"/>
            <w:vAlign w:val="center"/>
          </w:tcPr>
          <w:p w14:paraId="2FD7118B" w14:textId="77777777" w:rsidR="00575142" w:rsidRPr="00575142" w:rsidRDefault="00575142" w:rsidP="004669B7">
            <w:pPr>
              <w:pStyle w:val="TableText"/>
            </w:pPr>
            <w:r w:rsidRPr="00575142">
              <w:t>Christianity (Roman Catholic, Protestant)</w:t>
            </w:r>
          </w:p>
        </w:tc>
      </w:tr>
      <w:tr w:rsidR="00575142" w:rsidRPr="00575142" w14:paraId="581356A5" w14:textId="77777777" w:rsidTr="006C67F0">
        <w:trPr>
          <w:trHeight w:val="432"/>
        </w:trPr>
        <w:tc>
          <w:tcPr>
            <w:tcW w:w="2425" w:type="dxa"/>
            <w:vAlign w:val="center"/>
          </w:tcPr>
          <w:p w14:paraId="7A7F7BD6" w14:textId="77777777" w:rsidR="00575142" w:rsidRPr="00575142" w:rsidRDefault="00575142" w:rsidP="004669B7">
            <w:pPr>
              <w:pStyle w:val="TableText"/>
            </w:pPr>
            <w:r w:rsidRPr="00575142">
              <w:t>April 14</w:t>
            </w:r>
          </w:p>
        </w:tc>
        <w:tc>
          <w:tcPr>
            <w:tcW w:w="3780" w:type="dxa"/>
            <w:vAlign w:val="center"/>
          </w:tcPr>
          <w:p w14:paraId="07BEBBA1" w14:textId="77777777" w:rsidR="00575142" w:rsidRPr="00575142" w:rsidRDefault="00575142" w:rsidP="004669B7">
            <w:pPr>
              <w:pStyle w:val="TableText"/>
            </w:pPr>
            <w:r w:rsidRPr="00575142">
              <w:t>Vaisakhi</w:t>
            </w:r>
          </w:p>
        </w:tc>
        <w:tc>
          <w:tcPr>
            <w:tcW w:w="4320" w:type="dxa"/>
            <w:vAlign w:val="center"/>
          </w:tcPr>
          <w:p w14:paraId="3B30BEC5" w14:textId="77777777" w:rsidR="00575142" w:rsidRPr="00575142" w:rsidRDefault="00575142" w:rsidP="004669B7">
            <w:pPr>
              <w:pStyle w:val="TableText"/>
            </w:pPr>
            <w:r w:rsidRPr="00575142">
              <w:t>Sikhism</w:t>
            </w:r>
          </w:p>
        </w:tc>
      </w:tr>
      <w:tr w:rsidR="00575142" w:rsidRPr="00575142" w14:paraId="5D3134E9" w14:textId="77777777" w:rsidTr="006C67F0">
        <w:trPr>
          <w:trHeight w:val="432"/>
        </w:trPr>
        <w:tc>
          <w:tcPr>
            <w:tcW w:w="2425" w:type="dxa"/>
            <w:vAlign w:val="center"/>
          </w:tcPr>
          <w:p w14:paraId="78EFD1ED" w14:textId="77777777" w:rsidR="00575142" w:rsidRPr="00575142" w:rsidRDefault="00575142" w:rsidP="004669B7">
            <w:pPr>
              <w:pStyle w:val="TableText"/>
            </w:pPr>
            <w:r w:rsidRPr="00575142">
              <w:t>April 18</w:t>
            </w:r>
          </w:p>
        </w:tc>
        <w:tc>
          <w:tcPr>
            <w:tcW w:w="3780" w:type="dxa"/>
            <w:vAlign w:val="center"/>
          </w:tcPr>
          <w:p w14:paraId="23557712" w14:textId="77777777" w:rsidR="00575142" w:rsidRPr="00575142" w:rsidRDefault="00575142" w:rsidP="004669B7">
            <w:pPr>
              <w:pStyle w:val="TableText"/>
            </w:pPr>
            <w:r w:rsidRPr="00575142">
              <w:t>Good Friday</w:t>
            </w:r>
          </w:p>
        </w:tc>
        <w:tc>
          <w:tcPr>
            <w:tcW w:w="4320" w:type="dxa"/>
            <w:vAlign w:val="center"/>
          </w:tcPr>
          <w:p w14:paraId="20C5BEB0" w14:textId="77777777" w:rsidR="00575142" w:rsidRPr="00575142" w:rsidRDefault="00575142" w:rsidP="004669B7">
            <w:pPr>
              <w:pStyle w:val="TableText"/>
            </w:pPr>
            <w:r w:rsidRPr="00575142">
              <w:t>Christianity (Roman Catholic, Protestant)</w:t>
            </w:r>
          </w:p>
        </w:tc>
      </w:tr>
      <w:tr w:rsidR="00575142" w:rsidRPr="00575142" w14:paraId="497874A8" w14:textId="77777777" w:rsidTr="006C67F0">
        <w:trPr>
          <w:trHeight w:val="432"/>
        </w:trPr>
        <w:tc>
          <w:tcPr>
            <w:tcW w:w="2425" w:type="dxa"/>
            <w:vAlign w:val="center"/>
          </w:tcPr>
          <w:p w14:paraId="43C7B9B8" w14:textId="77777777" w:rsidR="00575142" w:rsidRPr="00575142" w:rsidRDefault="00575142" w:rsidP="004669B7">
            <w:pPr>
              <w:pStyle w:val="TableText"/>
            </w:pPr>
            <w:r w:rsidRPr="00575142">
              <w:t>April 18</w:t>
            </w:r>
          </w:p>
        </w:tc>
        <w:tc>
          <w:tcPr>
            <w:tcW w:w="3780" w:type="dxa"/>
            <w:vAlign w:val="center"/>
          </w:tcPr>
          <w:p w14:paraId="602C90F9" w14:textId="77777777" w:rsidR="00575142" w:rsidRPr="00575142" w:rsidRDefault="00575142" w:rsidP="004669B7">
            <w:pPr>
              <w:pStyle w:val="TableText"/>
            </w:pPr>
            <w:r w:rsidRPr="00575142">
              <w:t>Holy Friday</w:t>
            </w:r>
          </w:p>
        </w:tc>
        <w:tc>
          <w:tcPr>
            <w:tcW w:w="4320" w:type="dxa"/>
            <w:vAlign w:val="center"/>
          </w:tcPr>
          <w:p w14:paraId="28C28516" w14:textId="77777777" w:rsidR="00575142" w:rsidRPr="00575142" w:rsidRDefault="00575142" w:rsidP="004669B7">
            <w:pPr>
              <w:pStyle w:val="TableText"/>
            </w:pPr>
            <w:r w:rsidRPr="00575142">
              <w:t>Christianity (Orthodox)</w:t>
            </w:r>
          </w:p>
        </w:tc>
      </w:tr>
      <w:tr w:rsidR="00575142" w:rsidRPr="00575142" w14:paraId="10649FE5" w14:textId="77777777" w:rsidTr="006C67F0">
        <w:trPr>
          <w:trHeight w:val="432"/>
        </w:trPr>
        <w:tc>
          <w:tcPr>
            <w:tcW w:w="2425" w:type="dxa"/>
            <w:vAlign w:val="center"/>
          </w:tcPr>
          <w:p w14:paraId="2D203ECD" w14:textId="77777777" w:rsidR="00575142" w:rsidRPr="00575142" w:rsidRDefault="00575142" w:rsidP="004669B7">
            <w:pPr>
              <w:pStyle w:val="TableText"/>
            </w:pPr>
            <w:r w:rsidRPr="00575142">
              <w:t>April 20</w:t>
            </w:r>
          </w:p>
        </w:tc>
        <w:tc>
          <w:tcPr>
            <w:tcW w:w="3780" w:type="dxa"/>
            <w:vAlign w:val="center"/>
          </w:tcPr>
          <w:p w14:paraId="49161C48" w14:textId="77777777" w:rsidR="00575142" w:rsidRPr="00575142" w:rsidRDefault="00575142" w:rsidP="004669B7">
            <w:pPr>
              <w:pStyle w:val="TableText"/>
            </w:pPr>
            <w:r w:rsidRPr="00575142">
              <w:t>Easter</w:t>
            </w:r>
          </w:p>
        </w:tc>
        <w:tc>
          <w:tcPr>
            <w:tcW w:w="4320" w:type="dxa"/>
            <w:vAlign w:val="center"/>
          </w:tcPr>
          <w:p w14:paraId="7047DFE1" w14:textId="77777777" w:rsidR="00575142" w:rsidRPr="00575142" w:rsidRDefault="00575142" w:rsidP="004669B7">
            <w:pPr>
              <w:pStyle w:val="TableText"/>
            </w:pPr>
            <w:r w:rsidRPr="00575142">
              <w:t>Christianity (Roman Catholic, Protestant)</w:t>
            </w:r>
          </w:p>
        </w:tc>
      </w:tr>
      <w:tr w:rsidR="00575142" w:rsidRPr="00575142" w14:paraId="1F98303F" w14:textId="77777777" w:rsidTr="006C67F0">
        <w:trPr>
          <w:trHeight w:val="432"/>
        </w:trPr>
        <w:tc>
          <w:tcPr>
            <w:tcW w:w="2425" w:type="dxa"/>
            <w:vAlign w:val="center"/>
          </w:tcPr>
          <w:p w14:paraId="7F56CFE8" w14:textId="77777777" w:rsidR="00575142" w:rsidRPr="00575142" w:rsidRDefault="00575142" w:rsidP="004669B7">
            <w:pPr>
              <w:pStyle w:val="TableText"/>
            </w:pPr>
            <w:r w:rsidRPr="00575142">
              <w:t>April 20</w:t>
            </w:r>
          </w:p>
        </w:tc>
        <w:tc>
          <w:tcPr>
            <w:tcW w:w="3780" w:type="dxa"/>
            <w:vAlign w:val="center"/>
          </w:tcPr>
          <w:p w14:paraId="4072EE91" w14:textId="77777777" w:rsidR="00575142" w:rsidRPr="00575142" w:rsidRDefault="00575142" w:rsidP="004669B7">
            <w:pPr>
              <w:pStyle w:val="TableText"/>
            </w:pPr>
            <w:r w:rsidRPr="00575142">
              <w:t>Easter</w:t>
            </w:r>
          </w:p>
        </w:tc>
        <w:tc>
          <w:tcPr>
            <w:tcW w:w="4320" w:type="dxa"/>
            <w:vAlign w:val="center"/>
          </w:tcPr>
          <w:p w14:paraId="1437111D" w14:textId="77777777" w:rsidR="00575142" w:rsidRPr="00575142" w:rsidRDefault="00575142" w:rsidP="004669B7">
            <w:pPr>
              <w:pStyle w:val="TableText"/>
            </w:pPr>
            <w:r w:rsidRPr="00575142">
              <w:t>Christianity (Orthodox)</w:t>
            </w:r>
          </w:p>
        </w:tc>
      </w:tr>
      <w:tr w:rsidR="00575142" w:rsidRPr="00575142" w14:paraId="0CE8A0FA" w14:textId="77777777" w:rsidTr="006C67F0">
        <w:trPr>
          <w:trHeight w:val="432"/>
        </w:trPr>
        <w:tc>
          <w:tcPr>
            <w:tcW w:w="2425" w:type="dxa"/>
            <w:vAlign w:val="center"/>
          </w:tcPr>
          <w:p w14:paraId="2C7FA8E5" w14:textId="77777777" w:rsidR="00575142" w:rsidRPr="00575142" w:rsidRDefault="00575142" w:rsidP="004669B7">
            <w:pPr>
              <w:pStyle w:val="TableText"/>
            </w:pPr>
            <w:r w:rsidRPr="00575142">
              <w:t>Apr 21–May 3</w:t>
            </w:r>
          </w:p>
        </w:tc>
        <w:tc>
          <w:tcPr>
            <w:tcW w:w="3780" w:type="dxa"/>
            <w:vAlign w:val="center"/>
          </w:tcPr>
          <w:p w14:paraId="387F2206" w14:textId="77777777" w:rsidR="00575142" w:rsidRPr="00575142" w:rsidRDefault="00575142" w:rsidP="004669B7">
            <w:pPr>
              <w:pStyle w:val="TableText"/>
            </w:pPr>
            <w:r w:rsidRPr="00575142">
              <w:t>Festival of Ridvan</w:t>
            </w:r>
          </w:p>
        </w:tc>
        <w:tc>
          <w:tcPr>
            <w:tcW w:w="4320" w:type="dxa"/>
            <w:vAlign w:val="center"/>
          </w:tcPr>
          <w:p w14:paraId="004908F0" w14:textId="77777777" w:rsidR="00575142" w:rsidRPr="00575142" w:rsidRDefault="00575142" w:rsidP="004669B7">
            <w:pPr>
              <w:pStyle w:val="TableText"/>
            </w:pPr>
            <w:r w:rsidRPr="00575142">
              <w:t>Baháʼí</w:t>
            </w:r>
          </w:p>
        </w:tc>
      </w:tr>
      <w:tr w:rsidR="00575142" w:rsidRPr="00575142" w14:paraId="707CAAC8" w14:textId="77777777" w:rsidTr="006C67F0">
        <w:trPr>
          <w:trHeight w:val="432"/>
        </w:trPr>
        <w:tc>
          <w:tcPr>
            <w:tcW w:w="2425" w:type="dxa"/>
            <w:vAlign w:val="center"/>
          </w:tcPr>
          <w:p w14:paraId="53745CBB" w14:textId="77777777" w:rsidR="00575142" w:rsidRPr="00575142" w:rsidRDefault="00575142" w:rsidP="004669B7">
            <w:pPr>
              <w:pStyle w:val="TableText"/>
            </w:pPr>
            <w:r w:rsidRPr="00575142">
              <w:t>April 23–24</w:t>
            </w:r>
          </w:p>
        </w:tc>
        <w:tc>
          <w:tcPr>
            <w:tcW w:w="3780" w:type="dxa"/>
            <w:vAlign w:val="center"/>
          </w:tcPr>
          <w:p w14:paraId="321645D8" w14:textId="77777777" w:rsidR="00575142" w:rsidRPr="00575142" w:rsidRDefault="00575142" w:rsidP="004669B7">
            <w:pPr>
              <w:pStyle w:val="TableText"/>
            </w:pPr>
            <w:r w:rsidRPr="00575142">
              <w:t>Yom HaSho’ah</w:t>
            </w:r>
          </w:p>
        </w:tc>
        <w:tc>
          <w:tcPr>
            <w:tcW w:w="4320" w:type="dxa"/>
            <w:vAlign w:val="center"/>
          </w:tcPr>
          <w:p w14:paraId="1B824ACF" w14:textId="6D332040" w:rsidR="00575142" w:rsidRPr="00575142" w:rsidRDefault="00575142" w:rsidP="004669B7">
            <w:pPr>
              <w:pStyle w:val="TableText"/>
            </w:pPr>
            <w:r w:rsidRPr="00575142">
              <w:t>Judaism</w:t>
            </w:r>
          </w:p>
        </w:tc>
      </w:tr>
      <w:tr w:rsidR="00575142" w:rsidRPr="00575142" w14:paraId="7BC85B07" w14:textId="77777777" w:rsidTr="006C67F0">
        <w:trPr>
          <w:trHeight w:val="432"/>
        </w:trPr>
        <w:tc>
          <w:tcPr>
            <w:tcW w:w="2425" w:type="dxa"/>
            <w:vAlign w:val="center"/>
          </w:tcPr>
          <w:p w14:paraId="79B0B4B6" w14:textId="77777777" w:rsidR="00575142" w:rsidRPr="00575142" w:rsidRDefault="00575142" w:rsidP="004669B7">
            <w:pPr>
              <w:pStyle w:val="TableText"/>
            </w:pPr>
            <w:r w:rsidRPr="00575142">
              <w:t>May 1</w:t>
            </w:r>
          </w:p>
        </w:tc>
        <w:tc>
          <w:tcPr>
            <w:tcW w:w="3780" w:type="dxa"/>
            <w:vAlign w:val="center"/>
          </w:tcPr>
          <w:p w14:paraId="0B11A647" w14:textId="77777777" w:rsidR="00575142" w:rsidRPr="00575142" w:rsidRDefault="00575142" w:rsidP="004669B7">
            <w:pPr>
              <w:pStyle w:val="TableText"/>
            </w:pPr>
            <w:r w:rsidRPr="00575142">
              <w:t>Beltane</w:t>
            </w:r>
          </w:p>
        </w:tc>
        <w:tc>
          <w:tcPr>
            <w:tcW w:w="4320" w:type="dxa"/>
            <w:vAlign w:val="center"/>
          </w:tcPr>
          <w:p w14:paraId="3F24A485" w14:textId="77777777" w:rsidR="00575142" w:rsidRPr="00575142" w:rsidRDefault="00575142" w:rsidP="004669B7">
            <w:pPr>
              <w:pStyle w:val="TableText"/>
            </w:pPr>
            <w:r w:rsidRPr="00575142">
              <w:t>Paganism and Wicca</w:t>
            </w:r>
          </w:p>
        </w:tc>
      </w:tr>
      <w:tr w:rsidR="00575142" w:rsidRPr="00575142" w14:paraId="2FD56EB6" w14:textId="77777777" w:rsidTr="006C67F0">
        <w:trPr>
          <w:trHeight w:val="432"/>
        </w:trPr>
        <w:tc>
          <w:tcPr>
            <w:tcW w:w="2425" w:type="dxa"/>
            <w:vAlign w:val="center"/>
          </w:tcPr>
          <w:p w14:paraId="50591E24" w14:textId="77777777" w:rsidR="00575142" w:rsidRPr="00575142" w:rsidRDefault="00575142" w:rsidP="004669B7">
            <w:pPr>
              <w:pStyle w:val="TableText"/>
            </w:pPr>
            <w:r w:rsidRPr="00575142">
              <w:t>May 12</w:t>
            </w:r>
          </w:p>
        </w:tc>
        <w:tc>
          <w:tcPr>
            <w:tcW w:w="3780" w:type="dxa"/>
            <w:vAlign w:val="center"/>
          </w:tcPr>
          <w:p w14:paraId="05E63C00" w14:textId="77777777" w:rsidR="00575142" w:rsidRPr="00575142" w:rsidRDefault="00575142" w:rsidP="004669B7">
            <w:pPr>
              <w:pStyle w:val="TableText"/>
            </w:pPr>
            <w:r w:rsidRPr="00575142">
              <w:t>Vesak</w:t>
            </w:r>
          </w:p>
        </w:tc>
        <w:tc>
          <w:tcPr>
            <w:tcW w:w="4320" w:type="dxa"/>
            <w:vAlign w:val="center"/>
          </w:tcPr>
          <w:p w14:paraId="6C987535" w14:textId="77777777" w:rsidR="00575142" w:rsidRPr="00575142" w:rsidRDefault="00575142" w:rsidP="004669B7">
            <w:pPr>
              <w:pStyle w:val="TableText"/>
            </w:pPr>
            <w:r w:rsidRPr="00575142">
              <w:t>Buddhism</w:t>
            </w:r>
          </w:p>
        </w:tc>
      </w:tr>
      <w:tr w:rsidR="00575142" w:rsidRPr="00575142" w14:paraId="47A612F8" w14:textId="77777777" w:rsidTr="006C67F0">
        <w:trPr>
          <w:trHeight w:val="432"/>
        </w:trPr>
        <w:tc>
          <w:tcPr>
            <w:tcW w:w="2425" w:type="dxa"/>
            <w:vAlign w:val="center"/>
          </w:tcPr>
          <w:p w14:paraId="2A050AB8" w14:textId="77777777" w:rsidR="00575142" w:rsidRPr="00575142" w:rsidRDefault="00575142" w:rsidP="004669B7">
            <w:pPr>
              <w:pStyle w:val="TableText"/>
            </w:pPr>
            <w:r w:rsidRPr="00575142">
              <w:t>May 15–16</w:t>
            </w:r>
          </w:p>
        </w:tc>
        <w:tc>
          <w:tcPr>
            <w:tcW w:w="3780" w:type="dxa"/>
            <w:vAlign w:val="center"/>
          </w:tcPr>
          <w:p w14:paraId="1E78FD14" w14:textId="77777777" w:rsidR="00575142" w:rsidRPr="00575142" w:rsidRDefault="00575142" w:rsidP="004669B7">
            <w:pPr>
              <w:pStyle w:val="TableText"/>
            </w:pPr>
            <w:r w:rsidRPr="00575142">
              <w:t>Lag B’Omer</w:t>
            </w:r>
          </w:p>
        </w:tc>
        <w:tc>
          <w:tcPr>
            <w:tcW w:w="4320" w:type="dxa"/>
            <w:vAlign w:val="center"/>
          </w:tcPr>
          <w:p w14:paraId="22919FA4" w14:textId="77777777" w:rsidR="00575142" w:rsidRPr="00575142" w:rsidRDefault="00575142" w:rsidP="004669B7">
            <w:pPr>
              <w:pStyle w:val="TableText"/>
            </w:pPr>
            <w:r w:rsidRPr="00575142">
              <w:t>Judaism</w:t>
            </w:r>
          </w:p>
        </w:tc>
      </w:tr>
      <w:tr w:rsidR="00575142" w:rsidRPr="00575142" w14:paraId="1A72430A" w14:textId="77777777" w:rsidTr="006C67F0">
        <w:trPr>
          <w:trHeight w:val="432"/>
        </w:trPr>
        <w:tc>
          <w:tcPr>
            <w:tcW w:w="2425" w:type="dxa"/>
            <w:vAlign w:val="center"/>
          </w:tcPr>
          <w:p w14:paraId="49329D5E" w14:textId="77777777" w:rsidR="00575142" w:rsidRPr="00575142" w:rsidRDefault="00575142" w:rsidP="004669B7">
            <w:pPr>
              <w:pStyle w:val="TableText"/>
            </w:pPr>
            <w:r w:rsidRPr="00575142">
              <w:t>May 22–23</w:t>
            </w:r>
          </w:p>
        </w:tc>
        <w:tc>
          <w:tcPr>
            <w:tcW w:w="3780" w:type="dxa"/>
            <w:vAlign w:val="center"/>
          </w:tcPr>
          <w:p w14:paraId="35CC00DB" w14:textId="77777777" w:rsidR="00575142" w:rsidRPr="00575142" w:rsidRDefault="00575142" w:rsidP="004669B7">
            <w:pPr>
              <w:pStyle w:val="TableText"/>
            </w:pPr>
            <w:r w:rsidRPr="00575142">
              <w:t>Declaration of the Báb</w:t>
            </w:r>
          </w:p>
        </w:tc>
        <w:tc>
          <w:tcPr>
            <w:tcW w:w="4320" w:type="dxa"/>
            <w:vAlign w:val="center"/>
          </w:tcPr>
          <w:p w14:paraId="6E49A600" w14:textId="77777777" w:rsidR="00575142" w:rsidRPr="00575142" w:rsidRDefault="00575142" w:rsidP="004669B7">
            <w:pPr>
              <w:pStyle w:val="TableText"/>
            </w:pPr>
            <w:r w:rsidRPr="00575142">
              <w:t>Baháʼí</w:t>
            </w:r>
          </w:p>
        </w:tc>
      </w:tr>
      <w:tr w:rsidR="00575142" w:rsidRPr="00575142" w14:paraId="19FFB92C" w14:textId="77777777" w:rsidTr="006C67F0">
        <w:trPr>
          <w:trHeight w:val="432"/>
        </w:trPr>
        <w:tc>
          <w:tcPr>
            <w:tcW w:w="2425" w:type="dxa"/>
            <w:vAlign w:val="center"/>
          </w:tcPr>
          <w:p w14:paraId="2C82A5D5" w14:textId="77777777" w:rsidR="00575142" w:rsidRPr="00575142" w:rsidRDefault="00575142" w:rsidP="004669B7">
            <w:pPr>
              <w:pStyle w:val="TableText"/>
            </w:pPr>
            <w:r w:rsidRPr="00575142">
              <w:t>May 27–28</w:t>
            </w:r>
          </w:p>
        </w:tc>
        <w:tc>
          <w:tcPr>
            <w:tcW w:w="3780" w:type="dxa"/>
            <w:vAlign w:val="center"/>
          </w:tcPr>
          <w:p w14:paraId="2B20B5FF" w14:textId="77777777" w:rsidR="00575142" w:rsidRPr="00575142" w:rsidRDefault="00575142" w:rsidP="004669B7">
            <w:pPr>
              <w:pStyle w:val="TableText"/>
            </w:pPr>
            <w:r w:rsidRPr="00575142">
              <w:t>Ascension of Bahá’u’lláh</w:t>
            </w:r>
          </w:p>
        </w:tc>
        <w:tc>
          <w:tcPr>
            <w:tcW w:w="4320" w:type="dxa"/>
            <w:vAlign w:val="center"/>
          </w:tcPr>
          <w:p w14:paraId="20F2B468" w14:textId="77777777" w:rsidR="00575142" w:rsidRPr="00575142" w:rsidRDefault="00575142" w:rsidP="004669B7">
            <w:pPr>
              <w:pStyle w:val="TableText"/>
            </w:pPr>
            <w:r w:rsidRPr="00575142">
              <w:t>Baháʼí</w:t>
            </w:r>
          </w:p>
        </w:tc>
      </w:tr>
      <w:tr w:rsidR="00575142" w:rsidRPr="00575142" w14:paraId="4FEC2A41" w14:textId="77777777" w:rsidTr="006C67F0">
        <w:trPr>
          <w:trHeight w:val="432"/>
        </w:trPr>
        <w:tc>
          <w:tcPr>
            <w:tcW w:w="2425" w:type="dxa"/>
            <w:vAlign w:val="center"/>
          </w:tcPr>
          <w:p w14:paraId="026F9A17" w14:textId="77777777" w:rsidR="00575142" w:rsidRPr="00575142" w:rsidRDefault="00575142" w:rsidP="004669B7">
            <w:pPr>
              <w:pStyle w:val="TableText"/>
            </w:pPr>
            <w:r w:rsidRPr="00575142">
              <w:t>May 29</w:t>
            </w:r>
          </w:p>
        </w:tc>
        <w:tc>
          <w:tcPr>
            <w:tcW w:w="3780" w:type="dxa"/>
            <w:vAlign w:val="center"/>
          </w:tcPr>
          <w:p w14:paraId="0E771450" w14:textId="77777777" w:rsidR="00575142" w:rsidRPr="00575142" w:rsidRDefault="00575142" w:rsidP="004669B7">
            <w:pPr>
              <w:pStyle w:val="TableText"/>
            </w:pPr>
            <w:r w:rsidRPr="00575142">
              <w:t>Ascension Day</w:t>
            </w:r>
          </w:p>
        </w:tc>
        <w:tc>
          <w:tcPr>
            <w:tcW w:w="4320" w:type="dxa"/>
            <w:vAlign w:val="center"/>
          </w:tcPr>
          <w:p w14:paraId="0952FE23" w14:textId="77777777" w:rsidR="00575142" w:rsidRPr="00575142" w:rsidRDefault="00575142" w:rsidP="004669B7">
            <w:pPr>
              <w:pStyle w:val="TableText"/>
            </w:pPr>
            <w:r w:rsidRPr="00575142">
              <w:t>Christianity</w:t>
            </w:r>
          </w:p>
        </w:tc>
      </w:tr>
      <w:tr w:rsidR="00575142" w:rsidRPr="00575142" w14:paraId="508D6B11" w14:textId="77777777" w:rsidTr="006C67F0">
        <w:trPr>
          <w:trHeight w:val="432"/>
        </w:trPr>
        <w:tc>
          <w:tcPr>
            <w:tcW w:w="2425" w:type="dxa"/>
            <w:vAlign w:val="center"/>
          </w:tcPr>
          <w:p w14:paraId="321DD987" w14:textId="77777777" w:rsidR="00575142" w:rsidRPr="00575142" w:rsidRDefault="00575142" w:rsidP="004669B7">
            <w:pPr>
              <w:pStyle w:val="TableText"/>
            </w:pPr>
            <w:r w:rsidRPr="00575142">
              <w:t>June 1–3</w:t>
            </w:r>
          </w:p>
        </w:tc>
        <w:tc>
          <w:tcPr>
            <w:tcW w:w="3780" w:type="dxa"/>
            <w:vAlign w:val="center"/>
          </w:tcPr>
          <w:p w14:paraId="3E2EE8AF" w14:textId="77777777" w:rsidR="00575142" w:rsidRPr="00575142" w:rsidRDefault="00575142" w:rsidP="004669B7">
            <w:pPr>
              <w:pStyle w:val="TableText"/>
            </w:pPr>
            <w:r w:rsidRPr="00575142">
              <w:t>Shavuot</w:t>
            </w:r>
          </w:p>
        </w:tc>
        <w:tc>
          <w:tcPr>
            <w:tcW w:w="4320" w:type="dxa"/>
            <w:vAlign w:val="center"/>
          </w:tcPr>
          <w:p w14:paraId="28A156D8" w14:textId="77777777" w:rsidR="00575142" w:rsidRPr="00575142" w:rsidRDefault="00575142" w:rsidP="004669B7">
            <w:pPr>
              <w:pStyle w:val="TableText"/>
            </w:pPr>
            <w:r w:rsidRPr="00575142">
              <w:t>Judaism</w:t>
            </w:r>
          </w:p>
        </w:tc>
      </w:tr>
      <w:tr w:rsidR="00575142" w:rsidRPr="00575142" w14:paraId="458D7CD8" w14:textId="77777777" w:rsidTr="006C67F0">
        <w:trPr>
          <w:trHeight w:val="432"/>
        </w:trPr>
        <w:tc>
          <w:tcPr>
            <w:tcW w:w="2425" w:type="dxa"/>
            <w:vAlign w:val="center"/>
          </w:tcPr>
          <w:p w14:paraId="5C5159C5" w14:textId="77777777" w:rsidR="00575142" w:rsidRPr="00575142" w:rsidRDefault="00575142" w:rsidP="004669B7">
            <w:pPr>
              <w:pStyle w:val="TableText"/>
            </w:pPr>
            <w:r w:rsidRPr="00575142">
              <w:t>June 5–6</w:t>
            </w:r>
          </w:p>
        </w:tc>
        <w:tc>
          <w:tcPr>
            <w:tcW w:w="3780" w:type="dxa"/>
            <w:vAlign w:val="center"/>
          </w:tcPr>
          <w:p w14:paraId="37EDB84D" w14:textId="77777777" w:rsidR="00575142" w:rsidRPr="00575142" w:rsidRDefault="00575142" w:rsidP="004669B7">
            <w:pPr>
              <w:pStyle w:val="TableText"/>
            </w:pPr>
            <w:r w:rsidRPr="00575142">
              <w:t>Arafah</w:t>
            </w:r>
          </w:p>
        </w:tc>
        <w:tc>
          <w:tcPr>
            <w:tcW w:w="4320" w:type="dxa"/>
            <w:vAlign w:val="center"/>
          </w:tcPr>
          <w:p w14:paraId="35C444BB" w14:textId="77777777" w:rsidR="00575142" w:rsidRPr="00575142" w:rsidRDefault="00575142" w:rsidP="004669B7">
            <w:pPr>
              <w:pStyle w:val="TableText"/>
            </w:pPr>
            <w:r w:rsidRPr="00575142">
              <w:t>Islam</w:t>
            </w:r>
          </w:p>
        </w:tc>
      </w:tr>
      <w:tr w:rsidR="00575142" w:rsidRPr="00575142" w14:paraId="5EDD2E6F" w14:textId="77777777" w:rsidTr="006C67F0">
        <w:trPr>
          <w:trHeight w:val="432"/>
        </w:trPr>
        <w:tc>
          <w:tcPr>
            <w:tcW w:w="2425" w:type="dxa"/>
            <w:vAlign w:val="center"/>
          </w:tcPr>
          <w:p w14:paraId="5FFB4C2C" w14:textId="77777777" w:rsidR="00575142" w:rsidRPr="00575142" w:rsidRDefault="00575142" w:rsidP="004669B7">
            <w:pPr>
              <w:pStyle w:val="TableText"/>
            </w:pPr>
            <w:r w:rsidRPr="00575142">
              <w:t>June 6–7</w:t>
            </w:r>
          </w:p>
        </w:tc>
        <w:tc>
          <w:tcPr>
            <w:tcW w:w="3780" w:type="dxa"/>
            <w:vAlign w:val="center"/>
          </w:tcPr>
          <w:p w14:paraId="46A62ECB" w14:textId="77777777" w:rsidR="00575142" w:rsidRPr="00575142" w:rsidRDefault="00575142" w:rsidP="004669B7">
            <w:pPr>
              <w:pStyle w:val="TableText"/>
            </w:pPr>
            <w:r w:rsidRPr="00575142">
              <w:t>Eid-al-Adha</w:t>
            </w:r>
          </w:p>
        </w:tc>
        <w:tc>
          <w:tcPr>
            <w:tcW w:w="4320" w:type="dxa"/>
            <w:vAlign w:val="center"/>
          </w:tcPr>
          <w:p w14:paraId="705DF06B" w14:textId="77777777" w:rsidR="00575142" w:rsidRPr="00575142" w:rsidRDefault="00575142" w:rsidP="004669B7">
            <w:pPr>
              <w:pStyle w:val="TableText"/>
            </w:pPr>
            <w:r w:rsidRPr="00575142">
              <w:t>Islam</w:t>
            </w:r>
          </w:p>
        </w:tc>
      </w:tr>
      <w:tr w:rsidR="00575142" w:rsidRPr="00575142" w14:paraId="5EDB6617" w14:textId="77777777" w:rsidTr="006C67F0">
        <w:trPr>
          <w:trHeight w:val="432"/>
        </w:trPr>
        <w:tc>
          <w:tcPr>
            <w:tcW w:w="2425" w:type="dxa"/>
            <w:vAlign w:val="center"/>
          </w:tcPr>
          <w:p w14:paraId="664B3203" w14:textId="77777777" w:rsidR="00575142" w:rsidRPr="00575142" w:rsidRDefault="00575142" w:rsidP="004669B7">
            <w:pPr>
              <w:pStyle w:val="TableText"/>
            </w:pPr>
            <w:r w:rsidRPr="00575142">
              <w:t>June 8</w:t>
            </w:r>
          </w:p>
        </w:tc>
        <w:tc>
          <w:tcPr>
            <w:tcW w:w="3780" w:type="dxa"/>
            <w:vAlign w:val="center"/>
          </w:tcPr>
          <w:p w14:paraId="6DCA8730" w14:textId="77777777" w:rsidR="00575142" w:rsidRPr="00575142" w:rsidRDefault="00575142" w:rsidP="004669B7">
            <w:pPr>
              <w:pStyle w:val="TableText"/>
            </w:pPr>
            <w:r w:rsidRPr="00575142">
              <w:t>Pentecost</w:t>
            </w:r>
          </w:p>
        </w:tc>
        <w:tc>
          <w:tcPr>
            <w:tcW w:w="4320" w:type="dxa"/>
            <w:vAlign w:val="center"/>
          </w:tcPr>
          <w:p w14:paraId="0DB11E13" w14:textId="77777777" w:rsidR="00575142" w:rsidRPr="00575142" w:rsidRDefault="00575142" w:rsidP="004669B7">
            <w:pPr>
              <w:pStyle w:val="TableText"/>
            </w:pPr>
            <w:r w:rsidRPr="00575142">
              <w:t>Christianity (Roman Catholic, Protestant)</w:t>
            </w:r>
          </w:p>
        </w:tc>
      </w:tr>
      <w:tr w:rsidR="00575142" w:rsidRPr="00575142" w14:paraId="3217BE60" w14:textId="77777777" w:rsidTr="006C67F0">
        <w:trPr>
          <w:trHeight w:val="432"/>
        </w:trPr>
        <w:tc>
          <w:tcPr>
            <w:tcW w:w="2425" w:type="dxa"/>
            <w:vAlign w:val="center"/>
          </w:tcPr>
          <w:p w14:paraId="21E85A1F" w14:textId="77777777" w:rsidR="00575142" w:rsidRPr="00575142" w:rsidRDefault="00575142" w:rsidP="004669B7">
            <w:pPr>
              <w:pStyle w:val="TableText"/>
            </w:pPr>
            <w:r w:rsidRPr="00575142">
              <w:t>June 24</w:t>
            </w:r>
          </w:p>
        </w:tc>
        <w:tc>
          <w:tcPr>
            <w:tcW w:w="3780" w:type="dxa"/>
            <w:vAlign w:val="center"/>
          </w:tcPr>
          <w:p w14:paraId="69D621F7" w14:textId="77777777" w:rsidR="00575142" w:rsidRPr="00575142" w:rsidRDefault="00575142" w:rsidP="004669B7">
            <w:pPr>
              <w:pStyle w:val="TableText"/>
            </w:pPr>
            <w:r w:rsidRPr="00575142">
              <w:t>Pentecost</w:t>
            </w:r>
          </w:p>
        </w:tc>
        <w:tc>
          <w:tcPr>
            <w:tcW w:w="4320" w:type="dxa"/>
            <w:vAlign w:val="center"/>
          </w:tcPr>
          <w:p w14:paraId="56E1DE3D" w14:textId="77777777" w:rsidR="00575142" w:rsidRPr="00575142" w:rsidRDefault="00575142" w:rsidP="004669B7">
            <w:pPr>
              <w:pStyle w:val="TableText"/>
            </w:pPr>
            <w:r w:rsidRPr="00575142">
              <w:t>Christianity (Orthodox)</w:t>
            </w:r>
          </w:p>
        </w:tc>
      </w:tr>
      <w:tr w:rsidR="00575142" w:rsidRPr="00575142" w14:paraId="25C55496" w14:textId="77777777" w:rsidTr="006C67F0">
        <w:trPr>
          <w:trHeight w:val="432"/>
        </w:trPr>
        <w:tc>
          <w:tcPr>
            <w:tcW w:w="2425" w:type="dxa"/>
            <w:vAlign w:val="center"/>
          </w:tcPr>
          <w:p w14:paraId="53EF3826" w14:textId="77777777" w:rsidR="00575142" w:rsidRPr="00575142" w:rsidRDefault="00575142" w:rsidP="004669B7">
            <w:pPr>
              <w:pStyle w:val="TableText"/>
            </w:pPr>
            <w:r w:rsidRPr="00575142">
              <w:t>June 26–27</w:t>
            </w:r>
          </w:p>
        </w:tc>
        <w:tc>
          <w:tcPr>
            <w:tcW w:w="3780" w:type="dxa"/>
            <w:vAlign w:val="center"/>
          </w:tcPr>
          <w:p w14:paraId="1B49EA64" w14:textId="77777777" w:rsidR="00575142" w:rsidRPr="00575142" w:rsidRDefault="00575142" w:rsidP="004669B7">
            <w:pPr>
              <w:pStyle w:val="TableText"/>
            </w:pPr>
            <w:r w:rsidRPr="00575142">
              <w:t>Al-Hijra (Islamic New Year)</w:t>
            </w:r>
          </w:p>
        </w:tc>
        <w:tc>
          <w:tcPr>
            <w:tcW w:w="4320" w:type="dxa"/>
            <w:vAlign w:val="center"/>
          </w:tcPr>
          <w:p w14:paraId="7DB1B6F8" w14:textId="77777777" w:rsidR="00575142" w:rsidRPr="00575142" w:rsidRDefault="00575142" w:rsidP="004669B7">
            <w:pPr>
              <w:pStyle w:val="TableText"/>
            </w:pPr>
            <w:r w:rsidRPr="00575142">
              <w:t>Islam</w:t>
            </w:r>
          </w:p>
        </w:tc>
      </w:tr>
      <w:tr w:rsidR="00575142" w:rsidRPr="00575142" w14:paraId="68513176" w14:textId="77777777" w:rsidTr="006C67F0">
        <w:trPr>
          <w:trHeight w:val="432"/>
        </w:trPr>
        <w:tc>
          <w:tcPr>
            <w:tcW w:w="2425" w:type="dxa"/>
            <w:vAlign w:val="center"/>
          </w:tcPr>
          <w:p w14:paraId="1E4AC826" w14:textId="77777777" w:rsidR="00575142" w:rsidRPr="00575142" w:rsidRDefault="00575142" w:rsidP="004669B7">
            <w:pPr>
              <w:pStyle w:val="TableText"/>
            </w:pPr>
            <w:r w:rsidRPr="00575142">
              <w:t>July 5–6</w:t>
            </w:r>
          </w:p>
        </w:tc>
        <w:tc>
          <w:tcPr>
            <w:tcW w:w="3780" w:type="dxa"/>
            <w:vAlign w:val="center"/>
          </w:tcPr>
          <w:p w14:paraId="35ED227C" w14:textId="77777777" w:rsidR="00575142" w:rsidRPr="00575142" w:rsidRDefault="00575142" w:rsidP="004669B7">
            <w:pPr>
              <w:pStyle w:val="TableText"/>
            </w:pPr>
            <w:r w:rsidRPr="00575142">
              <w:t>Ashura</w:t>
            </w:r>
          </w:p>
        </w:tc>
        <w:tc>
          <w:tcPr>
            <w:tcW w:w="4320" w:type="dxa"/>
            <w:vAlign w:val="center"/>
          </w:tcPr>
          <w:p w14:paraId="6550D03A" w14:textId="77777777" w:rsidR="00575142" w:rsidRPr="00575142" w:rsidRDefault="00575142" w:rsidP="004669B7">
            <w:pPr>
              <w:pStyle w:val="TableText"/>
            </w:pPr>
            <w:r w:rsidRPr="00575142">
              <w:t>Islam</w:t>
            </w:r>
          </w:p>
        </w:tc>
      </w:tr>
      <w:tr w:rsidR="00575142" w:rsidRPr="00575142" w14:paraId="611C3FFD" w14:textId="77777777" w:rsidTr="006C67F0">
        <w:trPr>
          <w:trHeight w:val="432"/>
        </w:trPr>
        <w:tc>
          <w:tcPr>
            <w:tcW w:w="2425" w:type="dxa"/>
            <w:vAlign w:val="center"/>
          </w:tcPr>
          <w:p w14:paraId="0DE36765" w14:textId="77777777" w:rsidR="00575142" w:rsidRPr="00575142" w:rsidRDefault="00575142" w:rsidP="004669B7">
            <w:pPr>
              <w:pStyle w:val="TableText"/>
            </w:pPr>
            <w:r w:rsidRPr="00575142">
              <w:t>July 8–9</w:t>
            </w:r>
          </w:p>
        </w:tc>
        <w:tc>
          <w:tcPr>
            <w:tcW w:w="3780" w:type="dxa"/>
            <w:vAlign w:val="center"/>
          </w:tcPr>
          <w:p w14:paraId="680233E7" w14:textId="77777777" w:rsidR="00575142" w:rsidRPr="00575142" w:rsidRDefault="00575142" w:rsidP="004669B7">
            <w:pPr>
              <w:pStyle w:val="TableText"/>
            </w:pPr>
            <w:r w:rsidRPr="00575142">
              <w:t>Martyrdom of the Báb</w:t>
            </w:r>
          </w:p>
        </w:tc>
        <w:tc>
          <w:tcPr>
            <w:tcW w:w="4320" w:type="dxa"/>
            <w:vAlign w:val="center"/>
          </w:tcPr>
          <w:p w14:paraId="378E172F" w14:textId="77777777" w:rsidR="00575142" w:rsidRPr="00575142" w:rsidRDefault="00575142" w:rsidP="004669B7">
            <w:pPr>
              <w:pStyle w:val="TableText"/>
            </w:pPr>
            <w:r w:rsidRPr="00575142">
              <w:t>Baháʼí</w:t>
            </w:r>
          </w:p>
        </w:tc>
      </w:tr>
      <w:tr w:rsidR="00575142" w:rsidRPr="00575142" w14:paraId="2EFC7A1B" w14:textId="77777777" w:rsidTr="006C67F0">
        <w:trPr>
          <w:trHeight w:val="432"/>
        </w:trPr>
        <w:tc>
          <w:tcPr>
            <w:tcW w:w="2425" w:type="dxa"/>
            <w:vAlign w:val="center"/>
          </w:tcPr>
          <w:p w14:paraId="13CFA58E" w14:textId="77777777" w:rsidR="00575142" w:rsidRPr="00575142" w:rsidRDefault="00575142" w:rsidP="004669B7">
            <w:pPr>
              <w:pStyle w:val="TableText"/>
            </w:pPr>
            <w:r w:rsidRPr="00575142">
              <w:t>August 2–3</w:t>
            </w:r>
          </w:p>
        </w:tc>
        <w:tc>
          <w:tcPr>
            <w:tcW w:w="3780" w:type="dxa"/>
            <w:vAlign w:val="center"/>
          </w:tcPr>
          <w:p w14:paraId="200EE77E" w14:textId="77777777" w:rsidR="00575142" w:rsidRPr="00575142" w:rsidRDefault="00575142" w:rsidP="004669B7">
            <w:pPr>
              <w:pStyle w:val="TableText"/>
            </w:pPr>
            <w:r w:rsidRPr="00575142">
              <w:t>Tisha B’Av</w:t>
            </w:r>
          </w:p>
        </w:tc>
        <w:tc>
          <w:tcPr>
            <w:tcW w:w="4320" w:type="dxa"/>
            <w:vAlign w:val="center"/>
          </w:tcPr>
          <w:p w14:paraId="76D39B5F" w14:textId="77777777" w:rsidR="00575142" w:rsidRPr="00575142" w:rsidRDefault="00575142" w:rsidP="004669B7">
            <w:pPr>
              <w:pStyle w:val="TableText"/>
            </w:pPr>
            <w:r w:rsidRPr="00575142">
              <w:t>Judaism</w:t>
            </w:r>
          </w:p>
        </w:tc>
      </w:tr>
    </w:tbl>
    <w:p w14:paraId="6550306D" w14:textId="77777777" w:rsidR="00047751" w:rsidRPr="00047751" w:rsidRDefault="00047751" w:rsidP="004669B7"/>
    <w:sectPr w:rsidR="00047751" w:rsidRPr="00047751" w:rsidSect="00415433">
      <w:headerReference w:type="default" r:id="rId13"/>
      <w:type w:val="continuous"/>
      <w:pgSz w:w="12240" w:h="15840"/>
      <w:pgMar w:top="1008" w:right="864" w:bottom="1296" w:left="864"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FA8F6" w14:textId="77777777" w:rsidR="00AE7B70" w:rsidRDefault="00AE7B70" w:rsidP="004669B7">
      <w:r>
        <w:separator/>
      </w:r>
    </w:p>
    <w:p w14:paraId="5601CAAB" w14:textId="77777777" w:rsidR="00AE7B70" w:rsidRDefault="00AE7B70" w:rsidP="004669B7"/>
    <w:p w14:paraId="1DC8F224" w14:textId="77777777" w:rsidR="00AE7B70" w:rsidRDefault="00AE7B70" w:rsidP="004669B7"/>
    <w:p w14:paraId="40FE17C2" w14:textId="77777777" w:rsidR="00AE7B70" w:rsidRDefault="00AE7B70" w:rsidP="004669B7"/>
    <w:p w14:paraId="6EE24EA8" w14:textId="77777777" w:rsidR="00AE7B70" w:rsidRDefault="00AE7B70" w:rsidP="004669B7"/>
  </w:endnote>
  <w:endnote w:type="continuationSeparator" w:id="0">
    <w:p w14:paraId="7588E1C1" w14:textId="77777777" w:rsidR="00AE7B70" w:rsidRDefault="00AE7B70" w:rsidP="004669B7">
      <w:r>
        <w:continuationSeparator/>
      </w:r>
    </w:p>
    <w:p w14:paraId="1F499C21" w14:textId="77777777" w:rsidR="00AE7B70" w:rsidRDefault="00AE7B70" w:rsidP="004669B7"/>
    <w:p w14:paraId="65F770EF" w14:textId="77777777" w:rsidR="00AE7B70" w:rsidRDefault="00AE7B70" w:rsidP="004669B7"/>
    <w:p w14:paraId="60B45D95" w14:textId="77777777" w:rsidR="00AE7B70" w:rsidRDefault="00AE7B70" w:rsidP="004669B7"/>
    <w:p w14:paraId="02771864" w14:textId="77777777" w:rsidR="00AE7B70" w:rsidRDefault="00AE7B70" w:rsidP="00466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val="0"/>
        <w:iCs w:val="0"/>
      </w:rPr>
      <w:id w:val="-1162852419"/>
      <w:docPartObj>
        <w:docPartGallery w:val="Page Numbers (Bottom of Page)"/>
        <w:docPartUnique/>
      </w:docPartObj>
    </w:sdtPr>
    <w:sdtContent>
      <w:sdt>
        <w:sdtPr>
          <w:rPr>
            <w:i w:val="0"/>
            <w:iCs w:val="0"/>
          </w:rPr>
          <w:id w:val="1288244455"/>
          <w:docPartObj>
            <w:docPartGallery w:val="Page Numbers (Bottom of Page)"/>
            <w:docPartUnique/>
          </w:docPartObj>
        </w:sdtPr>
        <w:sdtContent>
          <w:p w14:paraId="1659395A" w14:textId="00A3EDF6" w:rsidR="00CB7EC4" w:rsidRPr="00AF57F9" w:rsidRDefault="00C45D15" w:rsidP="00C45D15">
            <w:pPr>
              <w:pStyle w:val="F1"/>
              <w:tabs>
                <w:tab w:val="center" w:pos="5040"/>
                <w:tab w:val="right" w:pos="10440"/>
              </w:tabs>
              <w:jc w:val="left"/>
              <w:rPr>
                <w:i w:val="0"/>
                <w:iCs w:val="0"/>
              </w:rPr>
            </w:pPr>
            <w:r w:rsidRPr="00AF57F9">
              <w:rPr>
                <w:i w:val="0"/>
                <w:iCs w:val="0"/>
              </w:rPr>
              <w:fldChar w:fldCharType="begin"/>
            </w:r>
            <w:r w:rsidRPr="00AF57F9">
              <w:rPr>
                <w:i w:val="0"/>
                <w:iCs w:val="0"/>
              </w:rPr>
              <w:instrText xml:space="preserve"> DATE \@ "MMMM d, yyyy" </w:instrText>
            </w:r>
            <w:r w:rsidRPr="00AF57F9">
              <w:rPr>
                <w:i w:val="0"/>
                <w:iCs w:val="0"/>
              </w:rPr>
              <w:fldChar w:fldCharType="separate"/>
            </w:r>
            <w:r w:rsidR="005037AA">
              <w:rPr>
                <w:i w:val="0"/>
                <w:iCs w:val="0"/>
              </w:rPr>
              <w:t>February 11, 2025</w:t>
            </w:r>
            <w:r w:rsidRPr="00AF57F9">
              <w:rPr>
                <w:i w:val="0"/>
                <w:iCs w:val="0"/>
              </w:rPr>
              <w:fldChar w:fldCharType="end"/>
            </w:r>
            <w:r w:rsidRPr="00AF57F9">
              <w:rPr>
                <w:i w:val="0"/>
                <w:iCs w:val="0"/>
              </w:rPr>
              <w:tab/>
            </w:r>
            <w:hyperlink r:id="rId1" w:history="1">
              <w:r w:rsidR="00D23A20" w:rsidRPr="00AF57F9">
                <w:rPr>
                  <w:rStyle w:val="Hyperlink"/>
                  <w:i w:val="0"/>
                  <w:iCs w:val="0"/>
                </w:rPr>
                <w:t>publichealth.jhu.edu</w:t>
              </w:r>
            </w:hyperlink>
            <w:r w:rsidR="00D23A20" w:rsidRPr="00AF57F9">
              <w:rPr>
                <w:i w:val="0"/>
                <w:iCs w:val="0"/>
              </w:rPr>
              <w:t xml:space="preserve"> </w:t>
            </w:r>
            <w:r w:rsidR="00D23A20" w:rsidRPr="00AF57F9">
              <w:rPr>
                <w:rFonts w:eastAsiaTheme="minorHAnsi"/>
                <w:i w:val="0"/>
                <w:iCs w:val="0"/>
              </w:rPr>
              <w:t>▪︎</w:t>
            </w:r>
            <w:r w:rsidR="00D23A20" w:rsidRPr="00AF57F9">
              <w:rPr>
                <w:i w:val="0"/>
                <w:iCs w:val="0"/>
              </w:rPr>
              <w:t xml:space="preserve"> </w:t>
            </w:r>
            <w:hyperlink r:id="rId2" w:history="1">
              <w:r w:rsidR="00D23A20" w:rsidRPr="00AF57F9">
                <w:rPr>
                  <w:rStyle w:val="Hyperlink"/>
                  <w:i w:val="0"/>
                  <w:iCs w:val="0"/>
                </w:rPr>
                <w:t>iDARE</w:t>
              </w:r>
            </w:hyperlink>
            <w:r w:rsidRPr="00AF57F9">
              <w:rPr>
                <w:i w:val="0"/>
                <w:iCs w:val="0"/>
              </w:rPr>
              <mc:AlternateContent>
                <mc:Choice Requires="wps">
                  <w:drawing>
                    <wp:anchor distT="0" distB="0" distL="114300" distR="114300" simplePos="0" relativeHeight="251669504" behindDoc="0" locked="0" layoutInCell="1" allowOverlap="1" wp14:anchorId="7187DCE4" wp14:editId="04321C6E">
                      <wp:simplePos x="0" y="0"/>
                      <wp:positionH relativeFrom="column">
                        <wp:posOffset>-524256</wp:posOffset>
                      </wp:positionH>
                      <wp:positionV relativeFrom="paragraph">
                        <wp:posOffset>25400</wp:posOffset>
                      </wp:positionV>
                      <wp:extent cx="7731633" cy="0"/>
                      <wp:effectExtent l="0" t="0" r="15875"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3163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F0C2AA" id="Straight Connector 1" o:spid="_x0000_s1026" alt="&quot;&quot;"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3pt,2pt" to="567.5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" strokecolor="#ff7a00 [3204]" strokeweight=".5pt">
                      <v:stroke joinstyle="miter"/>
                    </v:line>
                  </w:pict>
                </mc:Fallback>
              </mc:AlternateContent>
            </w:r>
            <w:r w:rsidRPr="00AF57F9">
              <w:rPr>
                <w:rStyle w:val="Hyperlink"/>
                <w:i w:val="0"/>
                <w:iCs w:val="0"/>
                <w:u w:val="none"/>
              </w:rPr>
              <w:tab/>
            </w:r>
            <w:r w:rsidRPr="00AF57F9">
              <w:rPr>
                <w:i w:val="0"/>
                <w:iCs w:val="0"/>
              </w:rPr>
              <w:t xml:space="preserve">Page </w:t>
            </w:r>
            <w:r w:rsidRPr="00AF57F9">
              <w:rPr>
                <w:i w:val="0"/>
                <w:iCs w:val="0"/>
              </w:rPr>
              <w:fldChar w:fldCharType="begin"/>
            </w:r>
            <w:r w:rsidRPr="00AF57F9">
              <w:rPr>
                <w:i w:val="0"/>
                <w:iCs w:val="0"/>
              </w:rPr>
              <w:instrText xml:space="preserve"> PAGE   \* MERGEFORMAT </w:instrText>
            </w:r>
            <w:r w:rsidRPr="00AF57F9">
              <w:rPr>
                <w:i w:val="0"/>
                <w:iCs w:val="0"/>
              </w:rPr>
              <w:fldChar w:fldCharType="separate"/>
            </w:r>
            <w:r w:rsidRPr="00AF57F9">
              <w:rPr>
                <w:i w:val="0"/>
                <w:iCs w:val="0"/>
              </w:rPr>
              <w:t>1</w:t>
            </w:r>
            <w:r w:rsidRPr="00AF57F9">
              <w:rPr>
                <w:i w:val="0"/>
                <w:iCs w:val="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842F" w14:textId="77777777" w:rsidR="00AE7B70" w:rsidRDefault="00AE7B70" w:rsidP="004669B7">
      <w:r>
        <w:separator/>
      </w:r>
    </w:p>
    <w:p w14:paraId="3F48E6DA" w14:textId="77777777" w:rsidR="00AE7B70" w:rsidRDefault="00AE7B70" w:rsidP="004669B7"/>
    <w:p w14:paraId="6ACD029F" w14:textId="77777777" w:rsidR="00AE7B70" w:rsidRDefault="00AE7B70" w:rsidP="004669B7"/>
    <w:p w14:paraId="55EA8E43" w14:textId="77777777" w:rsidR="00AE7B70" w:rsidRDefault="00AE7B70" w:rsidP="004669B7"/>
    <w:p w14:paraId="22608DF6" w14:textId="77777777" w:rsidR="00AE7B70" w:rsidRDefault="00AE7B70" w:rsidP="004669B7"/>
  </w:footnote>
  <w:footnote w:type="continuationSeparator" w:id="0">
    <w:p w14:paraId="54B7A420" w14:textId="77777777" w:rsidR="00AE7B70" w:rsidRDefault="00AE7B70" w:rsidP="004669B7">
      <w:r>
        <w:continuationSeparator/>
      </w:r>
    </w:p>
    <w:p w14:paraId="2420441B" w14:textId="77777777" w:rsidR="00AE7B70" w:rsidRDefault="00AE7B70" w:rsidP="004669B7"/>
    <w:p w14:paraId="04E1898B" w14:textId="77777777" w:rsidR="00AE7B70" w:rsidRDefault="00AE7B70" w:rsidP="004669B7"/>
    <w:p w14:paraId="5B6642C8" w14:textId="77777777" w:rsidR="00AE7B70" w:rsidRDefault="00AE7B70" w:rsidP="004669B7"/>
    <w:p w14:paraId="7D1CCFB7" w14:textId="77777777" w:rsidR="00AE7B70" w:rsidRDefault="00AE7B70" w:rsidP="004669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0BCC" w14:textId="77777777" w:rsidR="00CB7EC4" w:rsidRDefault="00CB7EC4" w:rsidP="004669B7">
    <w:pPr>
      <w:pStyle w:val="Header"/>
    </w:pPr>
    <w:r>
      <w:rPr>
        <w:noProof/>
      </w:rPr>
      <w:drawing>
        <wp:anchor distT="0" distB="0" distL="114300" distR="114300" simplePos="0" relativeHeight="251667456" behindDoc="1" locked="0" layoutInCell="1" allowOverlap="1" wp14:anchorId="4C3AD3BB" wp14:editId="07D97997">
          <wp:simplePos x="0" y="0"/>
          <wp:positionH relativeFrom="column">
            <wp:posOffset>-1603587</wp:posOffset>
          </wp:positionH>
          <wp:positionV relativeFrom="page">
            <wp:posOffset>463338</wp:posOffset>
          </wp:positionV>
          <wp:extent cx="8810625" cy="866775"/>
          <wp:effectExtent l="0" t="0" r="3175" b="0"/>
          <wp:wrapTight wrapText="bothSides">
            <wp:wrapPolygon edited="0">
              <wp:start x="0" y="0"/>
              <wp:lineTo x="0" y="21204"/>
              <wp:lineTo x="21577" y="21204"/>
              <wp:lineTo x="21577" y="0"/>
              <wp:lineTo x="0" y="0"/>
            </wp:wrapPolygon>
          </wp:wrapTight>
          <wp:docPr id="1898411620"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164108"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810625" cy="8667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274D" w14:textId="3E45298C" w:rsidR="009F601A" w:rsidRDefault="002B4DD0" w:rsidP="004669B7">
    <w:pPr>
      <w:pStyle w:val="Header"/>
    </w:pPr>
    <w:r>
      <w:rPr>
        <w:noProof/>
      </w:rPr>
      <w:drawing>
        <wp:anchor distT="0" distB="0" distL="114300" distR="114300" simplePos="0" relativeHeight="251664384" behindDoc="1" locked="0" layoutInCell="1" allowOverlap="1" wp14:anchorId="7E57B37A" wp14:editId="6B07174B">
          <wp:simplePos x="0" y="0"/>
          <wp:positionH relativeFrom="column">
            <wp:posOffset>-986905</wp:posOffset>
          </wp:positionH>
          <wp:positionV relativeFrom="page">
            <wp:posOffset>456565</wp:posOffset>
          </wp:positionV>
          <wp:extent cx="8191500" cy="809625"/>
          <wp:effectExtent l="0" t="0" r="0" b="3175"/>
          <wp:wrapTight wrapText="bothSides">
            <wp:wrapPolygon edited="0">
              <wp:start x="0" y="0"/>
              <wp:lineTo x="0" y="21346"/>
              <wp:lineTo x="21567" y="21346"/>
              <wp:lineTo x="21567" y="0"/>
              <wp:lineTo x="0" y="0"/>
            </wp:wrapPolygon>
          </wp:wrapTight>
          <wp:docPr id="160187447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874476"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191500" cy="8096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940DE7"/>
    <w:multiLevelType w:val="hybridMultilevel"/>
    <w:tmpl w:val="B45CA38A"/>
    <w:lvl w:ilvl="0" w:tplc="5510CA1C">
      <w:start w:val="1"/>
      <w:numFmt w:val="bullet"/>
      <w:pStyle w:val="LastBullet1"/>
      <w:lvlText w:val=""/>
      <w:lvlJc w:val="left"/>
      <w:pPr>
        <w:ind w:left="648" w:hanging="288"/>
      </w:pPr>
      <w:rPr>
        <w:rFonts w:ascii="Symbol" w:hAnsi="Symbol" w:hint="default"/>
        <w:color w:val="C15105"/>
      </w:rPr>
    </w:lvl>
    <w:lvl w:ilvl="1" w:tplc="84E25AA2">
      <w:start w:val="1"/>
      <w:numFmt w:val="bullet"/>
      <w:pStyle w:val="Bullet2"/>
      <w:lvlText w:val="-"/>
      <w:lvlJc w:val="left"/>
      <w:pPr>
        <w:ind w:left="1440" w:hanging="360"/>
      </w:pPr>
      <w:rPr>
        <w:rFonts w:ascii="Symbol" w:hAnsi="Symbol" w:hint="default"/>
        <w:color w:val="C15105"/>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62AEB"/>
    <w:multiLevelType w:val="hybridMultilevel"/>
    <w:tmpl w:val="15885EF0"/>
    <w:lvl w:ilvl="0" w:tplc="A9304058">
      <w:start w:val="1"/>
      <w:numFmt w:val="bullet"/>
      <w:pStyle w:val="Bullet1"/>
      <w:lvlText w:val=""/>
      <w:lvlJc w:val="left"/>
      <w:pPr>
        <w:ind w:left="648" w:hanging="288"/>
      </w:pPr>
      <w:rPr>
        <w:rFonts w:ascii="Symbol" w:hAnsi="Symbol" w:hint="default"/>
        <w:color w:val="C15105"/>
      </w:rPr>
    </w:lvl>
    <w:lvl w:ilvl="1" w:tplc="747C419E">
      <w:start w:val="1"/>
      <w:numFmt w:val="bullet"/>
      <w:lvlText w:val=""/>
      <w:lvlJc w:val="left"/>
      <w:pPr>
        <w:ind w:left="1440" w:hanging="360"/>
      </w:pPr>
      <w:rPr>
        <w:rFonts w:ascii="Symbol" w:hAnsi="Symbol" w:hint="default"/>
        <w:color w:val="C15105"/>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136F78"/>
    <w:multiLevelType w:val="hybridMultilevel"/>
    <w:tmpl w:val="2EBE9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D85993"/>
    <w:multiLevelType w:val="multilevel"/>
    <w:tmpl w:val="FCD8AFC0"/>
    <w:lvl w:ilvl="0">
      <w:start w:val="1"/>
      <w:numFmt w:val="bullet"/>
      <w:lvlText w:val=""/>
      <w:lvlJc w:val="left"/>
      <w:pPr>
        <w:ind w:left="648" w:hanging="288"/>
      </w:pPr>
      <w:rPr>
        <w:rFonts w:ascii="Symbol" w:hAnsi="Symbol" w:hint="default"/>
        <w:color w:val="C15105"/>
      </w:rPr>
    </w:lvl>
    <w:lvl w:ilvl="1">
      <w:start w:val="1"/>
      <w:numFmt w:val="bullet"/>
      <w:lvlText w:val=""/>
      <w:lvlJc w:val="left"/>
      <w:pPr>
        <w:ind w:left="1440" w:hanging="360"/>
      </w:pPr>
      <w:rPr>
        <w:rFonts w:ascii="Symbol" w:hAnsi="Symbol" w:hint="default"/>
        <w:color w:val="C15105"/>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3C6122B"/>
    <w:multiLevelType w:val="multilevel"/>
    <w:tmpl w:val="509283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4C67EB8"/>
    <w:multiLevelType w:val="multilevel"/>
    <w:tmpl w:val="C5C80876"/>
    <w:lvl w:ilvl="0">
      <w:start w:val="1"/>
      <w:numFmt w:val="bullet"/>
      <w:lvlText w:val=""/>
      <w:lvlJc w:val="left"/>
      <w:pPr>
        <w:ind w:left="720" w:hanging="360"/>
      </w:pPr>
      <w:rPr>
        <w:rFonts w:ascii="Symbol" w:hAnsi="Symbol" w:hint="default"/>
        <w:color w:val="C15105"/>
      </w:rPr>
    </w:lvl>
    <w:lvl w:ilvl="1">
      <w:start w:val="1"/>
      <w:numFmt w:val="bullet"/>
      <w:lvlText w:val=""/>
      <w:lvlJc w:val="left"/>
      <w:pPr>
        <w:ind w:left="1440" w:hanging="360"/>
      </w:pPr>
      <w:rPr>
        <w:rFonts w:ascii="Symbol" w:hAnsi="Symbol" w:hint="default"/>
        <w:color w:val="C15105"/>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B479F6"/>
    <w:multiLevelType w:val="multilevel"/>
    <w:tmpl w:val="74F2FB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01E3447"/>
    <w:multiLevelType w:val="hybridMultilevel"/>
    <w:tmpl w:val="77C8C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442943"/>
    <w:multiLevelType w:val="hybridMultilevel"/>
    <w:tmpl w:val="74F2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D076DC"/>
    <w:multiLevelType w:val="hybridMultilevel"/>
    <w:tmpl w:val="31E481F6"/>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1"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6238416">
    <w:abstractNumId w:val="8"/>
  </w:num>
  <w:num w:numId="2" w16cid:durableId="156309458">
    <w:abstractNumId w:val="8"/>
  </w:num>
  <w:num w:numId="3" w16cid:durableId="1295717425">
    <w:abstractNumId w:val="9"/>
  </w:num>
  <w:num w:numId="4" w16cid:durableId="1156991229">
    <w:abstractNumId w:val="8"/>
    <w:lvlOverride w:ilvl="0">
      <w:lvl w:ilvl="0">
        <w:start w:val="1"/>
        <w:numFmt w:val="decimal"/>
        <w:lvlText w:val="%1."/>
        <w:lvlJc w:val="left"/>
        <w:pPr>
          <w:tabs>
            <w:tab w:val="num" w:pos="1080"/>
          </w:tabs>
          <w:ind w:left="1080" w:hanging="360"/>
        </w:pPr>
        <w:rPr>
          <w:rFonts w:hint="default"/>
        </w:rPr>
      </w:lvl>
    </w:lvlOverride>
  </w:num>
  <w:num w:numId="5" w16cid:durableId="39323364">
    <w:abstractNumId w:val="12"/>
  </w:num>
  <w:num w:numId="6" w16cid:durableId="1100681910">
    <w:abstractNumId w:val="7"/>
  </w:num>
  <w:num w:numId="7" w16cid:durableId="2066442429">
    <w:abstractNumId w:val="6"/>
  </w:num>
  <w:num w:numId="8" w16cid:durableId="709185205">
    <w:abstractNumId w:val="5"/>
  </w:num>
  <w:num w:numId="9" w16cid:durableId="443306040">
    <w:abstractNumId w:val="4"/>
  </w:num>
  <w:num w:numId="10" w16cid:durableId="1265501013">
    <w:abstractNumId w:val="3"/>
  </w:num>
  <w:num w:numId="11" w16cid:durableId="1145272300">
    <w:abstractNumId w:val="2"/>
  </w:num>
  <w:num w:numId="12" w16cid:durableId="174537115">
    <w:abstractNumId w:val="1"/>
  </w:num>
  <w:num w:numId="13" w16cid:durableId="1691681966">
    <w:abstractNumId w:val="0"/>
  </w:num>
  <w:num w:numId="14" w16cid:durableId="1759449554">
    <w:abstractNumId w:val="8"/>
    <w:lvlOverride w:ilvl="0">
      <w:startOverride w:val="1"/>
    </w:lvlOverride>
  </w:num>
  <w:num w:numId="15" w16cid:durableId="283074616">
    <w:abstractNumId w:val="8"/>
  </w:num>
  <w:num w:numId="16" w16cid:durableId="1766919740">
    <w:abstractNumId w:val="21"/>
  </w:num>
  <w:num w:numId="17" w16cid:durableId="304118808">
    <w:abstractNumId w:val="19"/>
  </w:num>
  <w:num w:numId="18" w16cid:durableId="269553700">
    <w:abstractNumId w:val="17"/>
  </w:num>
  <w:num w:numId="19" w16cid:durableId="1477533230">
    <w:abstractNumId w:val="11"/>
  </w:num>
  <w:num w:numId="20" w16cid:durableId="1232540521">
    <w:abstractNumId w:val="16"/>
  </w:num>
  <w:num w:numId="21" w16cid:durableId="1772897645">
    <w:abstractNumId w:val="14"/>
  </w:num>
  <w:num w:numId="22" w16cid:durableId="1124956791">
    <w:abstractNumId w:val="10"/>
  </w:num>
  <w:num w:numId="23" w16cid:durableId="1106926860">
    <w:abstractNumId w:val="13"/>
  </w:num>
  <w:num w:numId="24" w16cid:durableId="2076735828">
    <w:abstractNumId w:val="18"/>
  </w:num>
  <w:num w:numId="25" w16cid:durableId="294065959">
    <w:abstractNumId w:val="20"/>
  </w:num>
  <w:num w:numId="26" w16cid:durableId="19127344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3sDQzMrM0NDQ2NzRR0lEKTi0uzszPAykwrAUA9D4xeiwAAAA="/>
  </w:docVars>
  <w:rsids>
    <w:rsidRoot w:val="0070344F"/>
    <w:rsid w:val="000012D0"/>
    <w:rsid w:val="000104BC"/>
    <w:rsid w:val="00013FA4"/>
    <w:rsid w:val="00014B38"/>
    <w:rsid w:val="00022E8D"/>
    <w:rsid w:val="000238CA"/>
    <w:rsid w:val="00024DC3"/>
    <w:rsid w:val="00036040"/>
    <w:rsid w:val="00047751"/>
    <w:rsid w:val="0005205C"/>
    <w:rsid w:val="00054579"/>
    <w:rsid w:val="00057898"/>
    <w:rsid w:val="00065AB9"/>
    <w:rsid w:val="00067305"/>
    <w:rsid w:val="000729A1"/>
    <w:rsid w:val="000737FB"/>
    <w:rsid w:val="000818E1"/>
    <w:rsid w:val="00085D46"/>
    <w:rsid w:val="00087ABD"/>
    <w:rsid w:val="00094586"/>
    <w:rsid w:val="000948A8"/>
    <w:rsid w:val="000951E0"/>
    <w:rsid w:val="000A0EE2"/>
    <w:rsid w:val="000A2894"/>
    <w:rsid w:val="000A6147"/>
    <w:rsid w:val="000A66FD"/>
    <w:rsid w:val="000A72DB"/>
    <w:rsid w:val="000B2D82"/>
    <w:rsid w:val="000C261A"/>
    <w:rsid w:val="000C4166"/>
    <w:rsid w:val="000D2363"/>
    <w:rsid w:val="000D2AA2"/>
    <w:rsid w:val="000D3687"/>
    <w:rsid w:val="000D37C6"/>
    <w:rsid w:val="000D51E2"/>
    <w:rsid w:val="000E6378"/>
    <w:rsid w:val="000F2B98"/>
    <w:rsid w:val="001053DB"/>
    <w:rsid w:val="00105B04"/>
    <w:rsid w:val="00105E50"/>
    <w:rsid w:val="00106D45"/>
    <w:rsid w:val="00107A3D"/>
    <w:rsid w:val="0011240D"/>
    <w:rsid w:val="00115D45"/>
    <w:rsid w:val="001173D1"/>
    <w:rsid w:val="00121CAF"/>
    <w:rsid w:val="001265AA"/>
    <w:rsid w:val="00130BC1"/>
    <w:rsid w:val="0013286B"/>
    <w:rsid w:val="001340E8"/>
    <w:rsid w:val="00140243"/>
    <w:rsid w:val="00145810"/>
    <w:rsid w:val="001558D8"/>
    <w:rsid w:val="00160E5D"/>
    <w:rsid w:val="001634A4"/>
    <w:rsid w:val="00163819"/>
    <w:rsid w:val="00166174"/>
    <w:rsid w:val="00167E6E"/>
    <w:rsid w:val="00170414"/>
    <w:rsid w:val="00174856"/>
    <w:rsid w:val="001808FA"/>
    <w:rsid w:val="00182516"/>
    <w:rsid w:val="00183119"/>
    <w:rsid w:val="001854CD"/>
    <w:rsid w:val="00185D33"/>
    <w:rsid w:val="00195241"/>
    <w:rsid w:val="001A70FA"/>
    <w:rsid w:val="001B1355"/>
    <w:rsid w:val="001B2E76"/>
    <w:rsid w:val="001B3E54"/>
    <w:rsid w:val="001B40E1"/>
    <w:rsid w:val="001B7F4F"/>
    <w:rsid w:val="001C0B17"/>
    <w:rsid w:val="001C70C2"/>
    <w:rsid w:val="001D033E"/>
    <w:rsid w:val="001D2B1A"/>
    <w:rsid w:val="001E11AF"/>
    <w:rsid w:val="001E1521"/>
    <w:rsid w:val="001E609A"/>
    <w:rsid w:val="001E78D0"/>
    <w:rsid w:val="001F2D28"/>
    <w:rsid w:val="001F2DCF"/>
    <w:rsid w:val="00203814"/>
    <w:rsid w:val="00203F88"/>
    <w:rsid w:val="00206CD0"/>
    <w:rsid w:val="00213CD0"/>
    <w:rsid w:val="00214A8A"/>
    <w:rsid w:val="00214C4F"/>
    <w:rsid w:val="002155CC"/>
    <w:rsid w:val="0022230D"/>
    <w:rsid w:val="002263AC"/>
    <w:rsid w:val="00231FF3"/>
    <w:rsid w:val="00233F2A"/>
    <w:rsid w:val="002432CC"/>
    <w:rsid w:val="00243E22"/>
    <w:rsid w:val="002504D0"/>
    <w:rsid w:val="00254773"/>
    <w:rsid w:val="0026400E"/>
    <w:rsid w:val="00264E6B"/>
    <w:rsid w:val="00267956"/>
    <w:rsid w:val="002741FE"/>
    <w:rsid w:val="0027462A"/>
    <w:rsid w:val="00276D7C"/>
    <w:rsid w:val="00281A9D"/>
    <w:rsid w:val="00287692"/>
    <w:rsid w:val="00287F88"/>
    <w:rsid w:val="00291518"/>
    <w:rsid w:val="00291C83"/>
    <w:rsid w:val="002940E8"/>
    <w:rsid w:val="00297AC6"/>
    <w:rsid w:val="002A039F"/>
    <w:rsid w:val="002A044E"/>
    <w:rsid w:val="002A3D07"/>
    <w:rsid w:val="002A75BD"/>
    <w:rsid w:val="002B016B"/>
    <w:rsid w:val="002B4DD0"/>
    <w:rsid w:val="002B5AE6"/>
    <w:rsid w:val="002B7B33"/>
    <w:rsid w:val="002C0220"/>
    <w:rsid w:val="002C02B0"/>
    <w:rsid w:val="002C1044"/>
    <w:rsid w:val="002C655D"/>
    <w:rsid w:val="002C7444"/>
    <w:rsid w:val="002D3AA8"/>
    <w:rsid w:val="002D4FDF"/>
    <w:rsid w:val="002D7DC3"/>
    <w:rsid w:val="002E2CD8"/>
    <w:rsid w:val="002E3B1E"/>
    <w:rsid w:val="002E5DA8"/>
    <w:rsid w:val="002F2941"/>
    <w:rsid w:val="002F2BD8"/>
    <w:rsid w:val="0030362D"/>
    <w:rsid w:val="00314DDD"/>
    <w:rsid w:val="003151BC"/>
    <w:rsid w:val="00315478"/>
    <w:rsid w:val="003175C1"/>
    <w:rsid w:val="00322F4F"/>
    <w:rsid w:val="00330202"/>
    <w:rsid w:val="003359E3"/>
    <w:rsid w:val="0034020D"/>
    <w:rsid w:val="00341101"/>
    <w:rsid w:val="00342292"/>
    <w:rsid w:val="00344640"/>
    <w:rsid w:val="003461EF"/>
    <w:rsid w:val="00347DD4"/>
    <w:rsid w:val="00354084"/>
    <w:rsid w:val="00354276"/>
    <w:rsid w:val="00356050"/>
    <w:rsid w:val="003618A8"/>
    <w:rsid w:val="0036371A"/>
    <w:rsid w:val="00366E1E"/>
    <w:rsid w:val="00370821"/>
    <w:rsid w:val="003714B9"/>
    <w:rsid w:val="00373717"/>
    <w:rsid w:val="00373732"/>
    <w:rsid w:val="00382C37"/>
    <w:rsid w:val="003836E7"/>
    <w:rsid w:val="0038377E"/>
    <w:rsid w:val="003853CA"/>
    <w:rsid w:val="00390E2E"/>
    <w:rsid w:val="00394031"/>
    <w:rsid w:val="00397A9A"/>
    <w:rsid w:val="003A31F2"/>
    <w:rsid w:val="003A3458"/>
    <w:rsid w:val="003A3627"/>
    <w:rsid w:val="003A4DEB"/>
    <w:rsid w:val="003A7DB7"/>
    <w:rsid w:val="003B3634"/>
    <w:rsid w:val="003C1913"/>
    <w:rsid w:val="003C34E0"/>
    <w:rsid w:val="003C3CF9"/>
    <w:rsid w:val="003E17E5"/>
    <w:rsid w:val="003E6D66"/>
    <w:rsid w:val="003F31CF"/>
    <w:rsid w:val="003F3A65"/>
    <w:rsid w:val="003F64DD"/>
    <w:rsid w:val="00404174"/>
    <w:rsid w:val="00407411"/>
    <w:rsid w:val="00407D13"/>
    <w:rsid w:val="0041335D"/>
    <w:rsid w:val="004134B4"/>
    <w:rsid w:val="00415433"/>
    <w:rsid w:val="00416F0E"/>
    <w:rsid w:val="004170A4"/>
    <w:rsid w:val="00417BF5"/>
    <w:rsid w:val="00420EB2"/>
    <w:rsid w:val="00421579"/>
    <w:rsid w:val="004253C9"/>
    <w:rsid w:val="004275BC"/>
    <w:rsid w:val="00435B9D"/>
    <w:rsid w:val="00436013"/>
    <w:rsid w:val="00437319"/>
    <w:rsid w:val="00437D33"/>
    <w:rsid w:val="0044029A"/>
    <w:rsid w:val="00441008"/>
    <w:rsid w:val="004656D5"/>
    <w:rsid w:val="004669B7"/>
    <w:rsid w:val="00467C82"/>
    <w:rsid w:val="0047299F"/>
    <w:rsid w:val="00472E87"/>
    <w:rsid w:val="00476B3F"/>
    <w:rsid w:val="00477A6C"/>
    <w:rsid w:val="0048015E"/>
    <w:rsid w:val="004873DF"/>
    <w:rsid w:val="00487D72"/>
    <w:rsid w:val="00491D32"/>
    <w:rsid w:val="004938F5"/>
    <w:rsid w:val="0049587C"/>
    <w:rsid w:val="00495AAE"/>
    <w:rsid w:val="00496FAD"/>
    <w:rsid w:val="004A5B9A"/>
    <w:rsid w:val="004A6175"/>
    <w:rsid w:val="004B453B"/>
    <w:rsid w:val="004B5364"/>
    <w:rsid w:val="004C0181"/>
    <w:rsid w:val="004C38CF"/>
    <w:rsid w:val="004C5F97"/>
    <w:rsid w:val="004D2670"/>
    <w:rsid w:val="004D39E1"/>
    <w:rsid w:val="004D41F0"/>
    <w:rsid w:val="004D590E"/>
    <w:rsid w:val="004D72B8"/>
    <w:rsid w:val="004E4A55"/>
    <w:rsid w:val="004F0275"/>
    <w:rsid w:val="004F2D34"/>
    <w:rsid w:val="004F5A0A"/>
    <w:rsid w:val="004F7F04"/>
    <w:rsid w:val="005000FF"/>
    <w:rsid w:val="0050357B"/>
    <w:rsid w:val="005037AA"/>
    <w:rsid w:val="005047DE"/>
    <w:rsid w:val="0050614F"/>
    <w:rsid w:val="00507F27"/>
    <w:rsid w:val="00513B06"/>
    <w:rsid w:val="0052173D"/>
    <w:rsid w:val="00524388"/>
    <w:rsid w:val="005268BA"/>
    <w:rsid w:val="0052697C"/>
    <w:rsid w:val="00534CB6"/>
    <w:rsid w:val="00535D79"/>
    <w:rsid w:val="005428DB"/>
    <w:rsid w:val="005432CF"/>
    <w:rsid w:val="00543CEC"/>
    <w:rsid w:val="00545844"/>
    <w:rsid w:val="00546B7D"/>
    <w:rsid w:val="00552706"/>
    <w:rsid w:val="00552FC5"/>
    <w:rsid w:val="00561AA8"/>
    <w:rsid w:val="00562438"/>
    <w:rsid w:val="005643BA"/>
    <w:rsid w:val="005710B5"/>
    <w:rsid w:val="005735B8"/>
    <w:rsid w:val="005739F2"/>
    <w:rsid w:val="00575142"/>
    <w:rsid w:val="00581FC7"/>
    <w:rsid w:val="00593BBA"/>
    <w:rsid w:val="00594495"/>
    <w:rsid w:val="0059561A"/>
    <w:rsid w:val="00596CD9"/>
    <w:rsid w:val="00597CFF"/>
    <w:rsid w:val="005C50CA"/>
    <w:rsid w:val="005D0129"/>
    <w:rsid w:val="005D7433"/>
    <w:rsid w:val="005E69D7"/>
    <w:rsid w:val="005F070D"/>
    <w:rsid w:val="005F11AA"/>
    <w:rsid w:val="005F2651"/>
    <w:rsid w:val="005F50CF"/>
    <w:rsid w:val="00601962"/>
    <w:rsid w:val="00605E16"/>
    <w:rsid w:val="00605F75"/>
    <w:rsid w:val="00607826"/>
    <w:rsid w:val="00607951"/>
    <w:rsid w:val="006140DF"/>
    <w:rsid w:val="00616B95"/>
    <w:rsid w:val="0062139B"/>
    <w:rsid w:val="00625E71"/>
    <w:rsid w:val="00626A6A"/>
    <w:rsid w:val="006307C5"/>
    <w:rsid w:val="0063593A"/>
    <w:rsid w:val="0063719F"/>
    <w:rsid w:val="006379EA"/>
    <w:rsid w:val="00640FA6"/>
    <w:rsid w:val="006537A1"/>
    <w:rsid w:val="006540A9"/>
    <w:rsid w:val="00655188"/>
    <w:rsid w:val="0066187B"/>
    <w:rsid w:val="00680D7B"/>
    <w:rsid w:val="006822C7"/>
    <w:rsid w:val="006824D9"/>
    <w:rsid w:val="00682600"/>
    <w:rsid w:val="00686660"/>
    <w:rsid w:val="00695C53"/>
    <w:rsid w:val="00696E1C"/>
    <w:rsid w:val="006A0723"/>
    <w:rsid w:val="006A1CCF"/>
    <w:rsid w:val="006A3BAE"/>
    <w:rsid w:val="006A5EE5"/>
    <w:rsid w:val="006B2919"/>
    <w:rsid w:val="006C1BC0"/>
    <w:rsid w:val="006C4E85"/>
    <w:rsid w:val="006C67F0"/>
    <w:rsid w:val="006D16C1"/>
    <w:rsid w:val="006D2642"/>
    <w:rsid w:val="006D45DC"/>
    <w:rsid w:val="006D51C2"/>
    <w:rsid w:val="006E1066"/>
    <w:rsid w:val="006E4ECF"/>
    <w:rsid w:val="006E5E51"/>
    <w:rsid w:val="006E5E84"/>
    <w:rsid w:val="006F4A8D"/>
    <w:rsid w:val="006F72E8"/>
    <w:rsid w:val="0070344F"/>
    <w:rsid w:val="0071037E"/>
    <w:rsid w:val="00711DBB"/>
    <w:rsid w:val="007138E3"/>
    <w:rsid w:val="007222D3"/>
    <w:rsid w:val="00724117"/>
    <w:rsid w:val="00726203"/>
    <w:rsid w:val="00727BDC"/>
    <w:rsid w:val="00734096"/>
    <w:rsid w:val="00741363"/>
    <w:rsid w:val="00743CC6"/>
    <w:rsid w:val="00744222"/>
    <w:rsid w:val="0074724B"/>
    <w:rsid w:val="007477A8"/>
    <w:rsid w:val="00751A62"/>
    <w:rsid w:val="00752616"/>
    <w:rsid w:val="007619FB"/>
    <w:rsid w:val="007650F7"/>
    <w:rsid w:val="00771C5B"/>
    <w:rsid w:val="00774D83"/>
    <w:rsid w:val="007758EA"/>
    <w:rsid w:val="00776350"/>
    <w:rsid w:val="0078433C"/>
    <w:rsid w:val="00785361"/>
    <w:rsid w:val="00787589"/>
    <w:rsid w:val="00787C58"/>
    <w:rsid w:val="00790077"/>
    <w:rsid w:val="007912D8"/>
    <w:rsid w:val="00794547"/>
    <w:rsid w:val="00795BA6"/>
    <w:rsid w:val="007A0AFB"/>
    <w:rsid w:val="007A60C0"/>
    <w:rsid w:val="007A7439"/>
    <w:rsid w:val="007B01BB"/>
    <w:rsid w:val="007B07C6"/>
    <w:rsid w:val="007B16FC"/>
    <w:rsid w:val="007B5A7F"/>
    <w:rsid w:val="007B5A97"/>
    <w:rsid w:val="007C1C7E"/>
    <w:rsid w:val="007C1E44"/>
    <w:rsid w:val="007C4742"/>
    <w:rsid w:val="007C4EFC"/>
    <w:rsid w:val="007C7156"/>
    <w:rsid w:val="007C7C8F"/>
    <w:rsid w:val="007D2C79"/>
    <w:rsid w:val="007D320E"/>
    <w:rsid w:val="007E5AB7"/>
    <w:rsid w:val="007E6A2E"/>
    <w:rsid w:val="007E7C4F"/>
    <w:rsid w:val="007F2DC3"/>
    <w:rsid w:val="00800112"/>
    <w:rsid w:val="00803629"/>
    <w:rsid w:val="0080571B"/>
    <w:rsid w:val="00811173"/>
    <w:rsid w:val="00821263"/>
    <w:rsid w:val="00821877"/>
    <w:rsid w:val="00832876"/>
    <w:rsid w:val="008447C4"/>
    <w:rsid w:val="00851B70"/>
    <w:rsid w:val="008528E5"/>
    <w:rsid w:val="008554E4"/>
    <w:rsid w:val="00861ECF"/>
    <w:rsid w:val="00865EB9"/>
    <w:rsid w:val="00866BB6"/>
    <w:rsid w:val="0087274C"/>
    <w:rsid w:val="008730D8"/>
    <w:rsid w:val="00875277"/>
    <w:rsid w:val="00875F3E"/>
    <w:rsid w:val="00893368"/>
    <w:rsid w:val="008951D9"/>
    <w:rsid w:val="008961E3"/>
    <w:rsid w:val="00897FA9"/>
    <w:rsid w:val="008A14E5"/>
    <w:rsid w:val="008A5A28"/>
    <w:rsid w:val="008A6EE5"/>
    <w:rsid w:val="008B5CD5"/>
    <w:rsid w:val="008B73DB"/>
    <w:rsid w:val="008C6CBE"/>
    <w:rsid w:val="008D177F"/>
    <w:rsid w:val="008D2370"/>
    <w:rsid w:val="008D4F92"/>
    <w:rsid w:val="008D6B4A"/>
    <w:rsid w:val="008D7C15"/>
    <w:rsid w:val="008E115B"/>
    <w:rsid w:val="008E43E8"/>
    <w:rsid w:val="008E6CD3"/>
    <w:rsid w:val="008F262D"/>
    <w:rsid w:val="008F5EDB"/>
    <w:rsid w:val="008F7565"/>
    <w:rsid w:val="00900C82"/>
    <w:rsid w:val="009014BB"/>
    <w:rsid w:val="00901814"/>
    <w:rsid w:val="00901C0A"/>
    <w:rsid w:val="00901C7C"/>
    <w:rsid w:val="00903AD4"/>
    <w:rsid w:val="00904F5D"/>
    <w:rsid w:val="009058BE"/>
    <w:rsid w:val="00905B5C"/>
    <w:rsid w:val="0090721B"/>
    <w:rsid w:val="00910B2D"/>
    <w:rsid w:val="00910E78"/>
    <w:rsid w:val="0091110E"/>
    <w:rsid w:val="00911817"/>
    <w:rsid w:val="009122E0"/>
    <w:rsid w:val="00913AF3"/>
    <w:rsid w:val="0092268C"/>
    <w:rsid w:val="009249E9"/>
    <w:rsid w:val="0092512C"/>
    <w:rsid w:val="00925699"/>
    <w:rsid w:val="00932806"/>
    <w:rsid w:val="009338DA"/>
    <w:rsid w:val="00937C6D"/>
    <w:rsid w:val="0094027A"/>
    <w:rsid w:val="0094746F"/>
    <w:rsid w:val="009544CD"/>
    <w:rsid w:val="00955C16"/>
    <w:rsid w:val="00966E10"/>
    <w:rsid w:val="009722D9"/>
    <w:rsid w:val="009730FB"/>
    <w:rsid w:val="00976F9C"/>
    <w:rsid w:val="00977743"/>
    <w:rsid w:val="00981BB9"/>
    <w:rsid w:val="00981BCD"/>
    <w:rsid w:val="00982F08"/>
    <w:rsid w:val="00987812"/>
    <w:rsid w:val="0099763F"/>
    <w:rsid w:val="009A22CF"/>
    <w:rsid w:val="009A5A95"/>
    <w:rsid w:val="009A7D14"/>
    <w:rsid w:val="009B0117"/>
    <w:rsid w:val="009B3026"/>
    <w:rsid w:val="009B5BBA"/>
    <w:rsid w:val="009B67DC"/>
    <w:rsid w:val="009C4806"/>
    <w:rsid w:val="009C494F"/>
    <w:rsid w:val="009D0A5C"/>
    <w:rsid w:val="009D3D6D"/>
    <w:rsid w:val="009D3E2B"/>
    <w:rsid w:val="009D4B1C"/>
    <w:rsid w:val="009D5B09"/>
    <w:rsid w:val="009E12A4"/>
    <w:rsid w:val="009E2F8A"/>
    <w:rsid w:val="009E696F"/>
    <w:rsid w:val="009F601A"/>
    <w:rsid w:val="009F6122"/>
    <w:rsid w:val="009F7914"/>
    <w:rsid w:val="00A07CDD"/>
    <w:rsid w:val="00A16823"/>
    <w:rsid w:val="00A22790"/>
    <w:rsid w:val="00A24A43"/>
    <w:rsid w:val="00A24C29"/>
    <w:rsid w:val="00A27B16"/>
    <w:rsid w:val="00A35781"/>
    <w:rsid w:val="00A36E26"/>
    <w:rsid w:val="00A37C0D"/>
    <w:rsid w:val="00A421D8"/>
    <w:rsid w:val="00A442A1"/>
    <w:rsid w:val="00A4535C"/>
    <w:rsid w:val="00A45E9D"/>
    <w:rsid w:val="00A511C1"/>
    <w:rsid w:val="00A60FEE"/>
    <w:rsid w:val="00A62DCE"/>
    <w:rsid w:val="00A630EE"/>
    <w:rsid w:val="00A644D7"/>
    <w:rsid w:val="00A7679A"/>
    <w:rsid w:val="00A76F98"/>
    <w:rsid w:val="00A77C04"/>
    <w:rsid w:val="00A801B4"/>
    <w:rsid w:val="00A80AC9"/>
    <w:rsid w:val="00A80C0F"/>
    <w:rsid w:val="00A81D6E"/>
    <w:rsid w:val="00A835A8"/>
    <w:rsid w:val="00A83650"/>
    <w:rsid w:val="00A8471B"/>
    <w:rsid w:val="00A848D9"/>
    <w:rsid w:val="00A86288"/>
    <w:rsid w:val="00A86B9B"/>
    <w:rsid w:val="00A8790C"/>
    <w:rsid w:val="00A927CB"/>
    <w:rsid w:val="00A92BEA"/>
    <w:rsid w:val="00A94F8D"/>
    <w:rsid w:val="00A95C9A"/>
    <w:rsid w:val="00AA040E"/>
    <w:rsid w:val="00AA186C"/>
    <w:rsid w:val="00AA32AD"/>
    <w:rsid w:val="00AB37A4"/>
    <w:rsid w:val="00AC3F5B"/>
    <w:rsid w:val="00AD3312"/>
    <w:rsid w:val="00AE10F9"/>
    <w:rsid w:val="00AE724F"/>
    <w:rsid w:val="00AE73C8"/>
    <w:rsid w:val="00AE7B70"/>
    <w:rsid w:val="00AF2ADF"/>
    <w:rsid w:val="00AF2CF9"/>
    <w:rsid w:val="00AF57F9"/>
    <w:rsid w:val="00AF7AB4"/>
    <w:rsid w:val="00B024DB"/>
    <w:rsid w:val="00B071C3"/>
    <w:rsid w:val="00B10E98"/>
    <w:rsid w:val="00B13D99"/>
    <w:rsid w:val="00B15010"/>
    <w:rsid w:val="00B23A10"/>
    <w:rsid w:val="00B25BB5"/>
    <w:rsid w:val="00B30FF4"/>
    <w:rsid w:val="00B317E5"/>
    <w:rsid w:val="00B348C3"/>
    <w:rsid w:val="00B44C5D"/>
    <w:rsid w:val="00B46426"/>
    <w:rsid w:val="00B50AFB"/>
    <w:rsid w:val="00B574AC"/>
    <w:rsid w:val="00B61155"/>
    <w:rsid w:val="00B726B5"/>
    <w:rsid w:val="00B72C20"/>
    <w:rsid w:val="00B83922"/>
    <w:rsid w:val="00B87E15"/>
    <w:rsid w:val="00BA1200"/>
    <w:rsid w:val="00BA2D50"/>
    <w:rsid w:val="00BA4676"/>
    <w:rsid w:val="00BB2D9D"/>
    <w:rsid w:val="00BB58E9"/>
    <w:rsid w:val="00BB6882"/>
    <w:rsid w:val="00BB70C9"/>
    <w:rsid w:val="00BC05C5"/>
    <w:rsid w:val="00BC5639"/>
    <w:rsid w:val="00BD29FE"/>
    <w:rsid w:val="00BD33A0"/>
    <w:rsid w:val="00BD77E4"/>
    <w:rsid w:val="00BE18FF"/>
    <w:rsid w:val="00BE2D1F"/>
    <w:rsid w:val="00BE34F7"/>
    <w:rsid w:val="00BE6B67"/>
    <w:rsid w:val="00C07C5B"/>
    <w:rsid w:val="00C12628"/>
    <w:rsid w:val="00C14720"/>
    <w:rsid w:val="00C151FF"/>
    <w:rsid w:val="00C1529D"/>
    <w:rsid w:val="00C200E2"/>
    <w:rsid w:val="00C2028F"/>
    <w:rsid w:val="00C26EF5"/>
    <w:rsid w:val="00C3066E"/>
    <w:rsid w:val="00C321FD"/>
    <w:rsid w:val="00C322F4"/>
    <w:rsid w:val="00C341A8"/>
    <w:rsid w:val="00C44A97"/>
    <w:rsid w:val="00C44CC3"/>
    <w:rsid w:val="00C45D15"/>
    <w:rsid w:val="00C5597D"/>
    <w:rsid w:val="00C7008F"/>
    <w:rsid w:val="00C70291"/>
    <w:rsid w:val="00C7097C"/>
    <w:rsid w:val="00C73BA3"/>
    <w:rsid w:val="00C77228"/>
    <w:rsid w:val="00C776E6"/>
    <w:rsid w:val="00C8069F"/>
    <w:rsid w:val="00C91F8C"/>
    <w:rsid w:val="00C92DFF"/>
    <w:rsid w:val="00CA0D92"/>
    <w:rsid w:val="00CA0FFA"/>
    <w:rsid w:val="00CA19D8"/>
    <w:rsid w:val="00CA2722"/>
    <w:rsid w:val="00CA3C86"/>
    <w:rsid w:val="00CA54D5"/>
    <w:rsid w:val="00CA6B6C"/>
    <w:rsid w:val="00CB0DF4"/>
    <w:rsid w:val="00CB330D"/>
    <w:rsid w:val="00CB35C2"/>
    <w:rsid w:val="00CB5C2A"/>
    <w:rsid w:val="00CB7EC4"/>
    <w:rsid w:val="00CC4110"/>
    <w:rsid w:val="00CC5822"/>
    <w:rsid w:val="00CE06D5"/>
    <w:rsid w:val="00CE67EC"/>
    <w:rsid w:val="00CF3FAA"/>
    <w:rsid w:val="00CF59E6"/>
    <w:rsid w:val="00CF72AE"/>
    <w:rsid w:val="00D03366"/>
    <w:rsid w:val="00D033BD"/>
    <w:rsid w:val="00D0624D"/>
    <w:rsid w:val="00D071FE"/>
    <w:rsid w:val="00D1170C"/>
    <w:rsid w:val="00D14D35"/>
    <w:rsid w:val="00D23A20"/>
    <w:rsid w:val="00D242F7"/>
    <w:rsid w:val="00D24B85"/>
    <w:rsid w:val="00D26C3A"/>
    <w:rsid w:val="00D3641C"/>
    <w:rsid w:val="00D3772E"/>
    <w:rsid w:val="00D410DD"/>
    <w:rsid w:val="00D51B5E"/>
    <w:rsid w:val="00D52DA1"/>
    <w:rsid w:val="00D56144"/>
    <w:rsid w:val="00D56203"/>
    <w:rsid w:val="00D74886"/>
    <w:rsid w:val="00D76DA3"/>
    <w:rsid w:val="00D81E20"/>
    <w:rsid w:val="00D82651"/>
    <w:rsid w:val="00D87F26"/>
    <w:rsid w:val="00D90B2B"/>
    <w:rsid w:val="00D90EA8"/>
    <w:rsid w:val="00D913B5"/>
    <w:rsid w:val="00D9743E"/>
    <w:rsid w:val="00DA2103"/>
    <w:rsid w:val="00DA2A68"/>
    <w:rsid w:val="00DA4F85"/>
    <w:rsid w:val="00DA7680"/>
    <w:rsid w:val="00DB3639"/>
    <w:rsid w:val="00DB4095"/>
    <w:rsid w:val="00DC2372"/>
    <w:rsid w:val="00DD046F"/>
    <w:rsid w:val="00DE1BC9"/>
    <w:rsid w:val="00DE2067"/>
    <w:rsid w:val="00DE38B0"/>
    <w:rsid w:val="00DE6A4E"/>
    <w:rsid w:val="00DE7D9C"/>
    <w:rsid w:val="00DF184B"/>
    <w:rsid w:val="00DF1A79"/>
    <w:rsid w:val="00DF208F"/>
    <w:rsid w:val="00DF7B92"/>
    <w:rsid w:val="00E017E1"/>
    <w:rsid w:val="00E059F9"/>
    <w:rsid w:val="00E05F28"/>
    <w:rsid w:val="00E10831"/>
    <w:rsid w:val="00E14E26"/>
    <w:rsid w:val="00E15A80"/>
    <w:rsid w:val="00E202DA"/>
    <w:rsid w:val="00E2165E"/>
    <w:rsid w:val="00E21BBA"/>
    <w:rsid w:val="00E22D75"/>
    <w:rsid w:val="00E237C2"/>
    <w:rsid w:val="00E27A0B"/>
    <w:rsid w:val="00E30F5E"/>
    <w:rsid w:val="00E30F72"/>
    <w:rsid w:val="00E320D2"/>
    <w:rsid w:val="00E32D29"/>
    <w:rsid w:val="00E40103"/>
    <w:rsid w:val="00E40457"/>
    <w:rsid w:val="00E5168D"/>
    <w:rsid w:val="00E5321E"/>
    <w:rsid w:val="00E53AD0"/>
    <w:rsid w:val="00E551FC"/>
    <w:rsid w:val="00E5635D"/>
    <w:rsid w:val="00E57C48"/>
    <w:rsid w:val="00E62BB4"/>
    <w:rsid w:val="00E63340"/>
    <w:rsid w:val="00E6631E"/>
    <w:rsid w:val="00E71307"/>
    <w:rsid w:val="00E73AC0"/>
    <w:rsid w:val="00E76CC7"/>
    <w:rsid w:val="00E77F22"/>
    <w:rsid w:val="00E805B6"/>
    <w:rsid w:val="00E85135"/>
    <w:rsid w:val="00E868A6"/>
    <w:rsid w:val="00E90DBD"/>
    <w:rsid w:val="00E92378"/>
    <w:rsid w:val="00E95CE6"/>
    <w:rsid w:val="00E95FF5"/>
    <w:rsid w:val="00EA0C36"/>
    <w:rsid w:val="00EA3CDD"/>
    <w:rsid w:val="00EB0E7F"/>
    <w:rsid w:val="00EB3D80"/>
    <w:rsid w:val="00EB4B9E"/>
    <w:rsid w:val="00EB7D9B"/>
    <w:rsid w:val="00EC1B42"/>
    <w:rsid w:val="00EC6FF9"/>
    <w:rsid w:val="00ED24DA"/>
    <w:rsid w:val="00ED7DCB"/>
    <w:rsid w:val="00EE1342"/>
    <w:rsid w:val="00EE1955"/>
    <w:rsid w:val="00EE1D2E"/>
    <w:rsid w:val="00EE2DCB"/>
    <w:rsid w:val="00EF0E4F"/>
    <w:rsid w:val="00F154F4"/>
    <w:rsid w:val="00F1583E"/>
    <w:rsid w:val="00F15F64"/>
    <w:rsid w:val="00F16981"/>
    <w:rsid w:val="00F17257"/>
    <w:rsid w:val="00F257B1"/>
    <w:rsid w:val="00F25D46"/>
    <w:rsid w:val="00F26993"/>
    <w:rsid w:val="00F355B7"/>
    <w:rsid w:val="00F403F3"/>
    <w:rsid w:val="00F43D57"/>
    <w:rsid w:val="00F4492A"/>
    <w:rsid w:val="00F515ED"/>
    <w:rsid w:val="00F53047"/>
    <w:rsid w:val="00F54225"/>
    <w:rsid w:val="00F54EE8"/>
    <w:rsid w:val="00F56013"/>
    <w:rsid w:val="00F65529"/>
    <w:rsid w:val="00F670D7"/>
    <w:rsid w:val="00F675F1"/>
    <w:rsid w:val="00F73572"/>
    <w:rsid w:val="00F80FF4"/>
    <w:rsid w:val="00F81A36"/>
    <w:rsid w:val="00F82A6F"/>
    <w:rsid w:val="00F83918"/>
    <w:rsid w:val="00F84E51"/>
    <w:rsid w:val="00F95148"/>
    <w:rsid w:val="00FA353E"/>
    <w:rsid w:val="00FA4CC7"/>
    <w:rsid w:val="00FA6C9F"/>
    <w:rsid w:val="00FB1A31"/>
    <w:rsid w:val="00FB2314"/>
    <w:rsid w:val="00FB653B"/>
    <w:rsid w:val="00FC2573"/>
    <w:rsid w:val="00FC293D"/>
    <w:rsid w:val="00FC69EC"/>
    <w:rsid w:val="00FD2593"/>
    <w:rsid w:val="00FE0D4E"/>
    <w:rsid w:val="00FF3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CDEEE"/>
  <w15:chartTrackingRefBased/>
  <w15:docId w15:val="{D5B8A8ED-E406-BA4B-83EA-24EB407D8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9B7"/>
    <w:pPr>
      <w:spacing w:after="240" w:line="240" w:lineRule="auto"/>
    </w:pPr>
    <w:rPr>
      <w:rFonts w:ascii="Tahoma" w:hAnsi="Tahoma" w:cs="Tahoma"/>
      <w:color w:val="000000" w:themeColor="text1"/>
    </w:rPr>
  </w:style>
  <w:style w:type="paragraph" w:styleId="Heading1">
    <w:name w:val="heading 1"/>
    <w:basedOn w:val="Normal"/>
    <w:next w:val="Normal"/>
    <w:link w:val="Heading1Char"/>
    <w:uiPriority w:val="9"/>
    <w:qFormat/>
    <w:rsid w:val="009F601A"/>
    <w:pPr>
      <w:spacing w:after="360"/>
      <w:outlineLvl w:val="0"/>
    </w:pPr>
    <w:rPr>
      <w:rFonts w:ascii="Georgia" w:hAnsi="Georgia"/>
      <w:b/>
      <w:noProof/>
      <w:color w:val="808080" w:themeColor="background1" w:themeShade="80"/>
      <w:sz w:val="48"/>
    </w:rPr>
  </w:style>
  <w:style w:type="paragraph" w:styleId="Heading2">
    <w:name w:val="heading 2"/>
    <w:next w:val="Normal"/>
    <w:link w:val="Heading2Char"/>
    <w:uiPriority w:val="9"/>
    <w:unhideWhenUsed/>
    <w:qFormat/>
    <w:rsid w:val="009A7D14"/>
    <w:pPr>
      <w:spacing w:before="120" w:after="120" w:line="240" w:lineRule="auto"/>
      <w:outlineLvl w:val="1"/>
    </w:pPr>
    <w:rPr>
      <w:rFonts w:ascii="Georgia" w:hAnsi="Georgia"/>
      <w:b/>
      <w:noProof/>
      <w:color w:val="4B8CCA"/>
      <w:sz w:val="32"/>
      <w:szCs w:val="32"/>
    </w:rPr>
  </w:style>
  <w:style w:type="paragraph" w:styleId="Heading3">
    <w:name w:val="heading 3"/>
    <w:basedOn w:val="Heading2"/>
    <w:next w:val="Normal"/>
    <w:link w:val="Heading3Char"/>
    <w:uiPriority w:val="9"/>
    <w:unhideWhenUsed/>
    <w:qFormat/>
    <w:rsid w:val="009D5B09"/>
    <w:pPr>
      <w:spacing w:after="0"/>
      <w:outlineLvl w:val="2"/>
    </w:pPr>
    <w:rPr>
      <w:color w:val="000000" w:themeColor="text1"/>
      <w:sz w:val="24"/>
    </w:rPr>
  </w:style>
  <w:style w:type="paragraph" w:styleId="Heading4">
    <w:name w:val="heading 4"/>
    <w:basedOn w:val="Normal"/>
    <w:next w:val="Normal"/>
    <w:uiPriority w:val="9"/>
    <w:unhideWhenUsed/>
    <w:qFormat/>
    <w:rsid w:val="00724117"/>
    <w:pPr>
      <w:spacing w:before="240"/>
      <w:outlineLvl w:val="3"/>
    </w:pPr>
    <w:rPr>
      <w:b/>
    </w:rPr>
  </w:style>
  <w:style w:type="paragraph" w:styleId="Heading5">
    <w:name w:val="heading 5"/>
    <w:basedOn w:val="Normal"/>
    <w:next w:val="Normal"/>
    <w:link w:val="Heading5Char"/>
    <w:uiPriority w:val="9"/>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601A"/>
    <w:rPr>
      <w:rFonts w:ascii="Georgia" w:hAnsi="Georgia"/>
      <w:b/>
      <w:noProof/>
      <w:color w:val="808080" w:themeColor="background1" w:themeShade="80"/>
      <w:sz w:val="48"/>
    </w:rPr>
  </w:style>
  <w:style w:type="character" w:customStyle="1" w:styleId="Heading5Char">
    <w:name w:val="Heading 5 Char"/>
    <w:basedOn w:val="DefaultParagraphFont"/>
    <w:link w:val="Heading5"/>
    <w:uiPriority w:val="9"/>
    <w:rPr>
      <w:rFonts w:asciiTheme="majorHAnsi" w:eastAsiaTheme="majorEastAsia" w:hAnsiTheme="majorHAnsi" w:cstheme="majorBidi"/>
      <w:i/>
      <w:color w:val="FF7A00"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7A00"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FF7A00"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F7A00"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F7A00"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SubtitleChar">
    <w:name w:val="Subtitle Char"/>
    <w:basedOn w:val="DefaultParagraphFont"/>
    <w:link w:val="Subtitle"/>
    <w:uiPriority w:val="11"/>
    <w:semiHidden/>
    <w:rPr>
      <w:rFonts w:eastAsiaTheme="minorEastAsia"/>
      <w:color w:val="FF7A00" w:themeColor="accent1"/>
      <w:sz w:val="34"/>
      <w:szCs w:val="22"/>
    </w:rPr>
  </w:style>
  <w:style w:type="character" w:styleId="SubtleEmphasis">
    <w:name w:val="Subtle Emphasis"/>
    <w:basedOn w:val="DefaultParagraphFont"/>
    <w:uiPriority w:val="19"/>
    <w:semiHidden/>
    <w:unhideWhenUsed/>
    <w:qFormat/>
    <w:rPr>
      <w:i/>
      <w:iCs/>
      <w:color w:val="666660" w:themeColor="text2" w:themeTint="BF"/>
    </w:rPr>
  </w:style>
  <w:style w:type="character" w:styleId="IntenseEmphasis">
    <w:name w:val="Intense Emphasis"/>
    <w:basedOn w:val="DefaultParagraphFont"/>
    <w:uiPriority w:val="21"/>
    <w:semiHidden/>
    <w:unhideWhenUsed/>
    <w:qFormat/>
    <w:rPr>
      <w:b/>
      <w:i/>
      <w:iCs/>
      <w:color w:val="454541" w:themeColor="text2" w:themeTint="E6"/>
    </w:rPr>
  </w:style>
  <w:style w:type="character" w:styleId="Strong">
    <w:name w:val="Strong"/>
    <w:basedOn w:val="DefaultParagraphFont"/>
    <w:uiPriority w:val="22"/>
    <w:semiHidden/>
    <w:unhideWhenUsed/>
    <w:qFormat/>
    <w:rPr>
      <w:b/>
      <w:bCs/>
      <w:color w:val="666660"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54541" w:themeColor="text2" w:themeTint="E6"/>
      <w:sz w:val="34"/>
    </w:rPr>
  </w:style>
  <w:style w:type="character" w:customStyle="1" w:styleId="IntenseQuoteChar">
    <w:name w:val="Intense Quote Char"/>
    <w:basedOn w:val="DefaultParagraphFont"/>
    <w:link w:val="IntenseQuote"/>
    <w:uiPriority w:val="30"/>
    <w:semiHidden/>
    <w:rPr>
      <w:b/>
      <w:i/>
      <w:iCs/>
      <w:color w:val="454541" w:themeColor="text2" w:themeTint="E6"/>
      <w:sz w:val="34"/>
    </w:rPr>
  </w:style>
  <w:style w:type="character" w:styleId="SubtleReference">
    <w:name w:val="Subtle Reference"/>
    <w:basedOn w:val="DefaultParagraphFont"/>
    <w:uiPriority w:val="31"/>
    <w:semiHidden/>
    <w:unhideWhenUsed/>
    <w:qFormat/>
    <w:rPr>
      <w:caps/>
      <w:smallCaps w:val="0"/>
      <w:color w:val="666660" w:themeColor="text2" w:themeTint="BF"/>
    </w:rPr>
  </w:style>
  <w:style w:type="character" w:styleId="IntenseReference">
    <w:name w:val="Intense Reference"/>
    <w:basedOn w:val="DefaultParagraphFont"/>
    <w:uiPriority w:val="32"/>
    <w:semiHidden/>
    <w:unhideWhenUsed/>
    <w:qFormat/>
    <w:rPr>
      <w:b/>
      <w:bCs/>
      <w:caps/>
      <w:smallCaps w:val="0"/>
      <w:color w:val="666660" w:themeColor="text2" w:themeTint="BF"/>
      <w:spacing w:val="0"/>
    </w:rPr>
  </w:style>
  <w:style w:type="paragraph" w:styleId="Caption">
    <w:name w:val="caption"/>
    <w:basedOn w:val="Normal"/>
    <w:next w:val="Normal"/>
    <w:uiPriority w:val="35"/>
    <w:semiHidden/>
    <w:unhideWhenUsed/>
    <w:qFormat/>
    <w:pPr>
      <w:spacing w:after="200"/>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8F262D"/>
    <w:pPr>
      <w:tabs>
        <w:tab w:val="center" w:pos="4680"/>
        <w:tab w:val="right" w:pos="9360"/>
      </w:tabs>
    </w:pPr>
  </w:style>
  <w:style w:type="character" w:customStyle="1" w:styleId="FooterChar">
    <w:name w:val="Footer Char"/>
    <w:basedOn w:val="DefaultParagraphFont"/>
    <w:link w:val="Footer"/>
    <w:uiPriority w:val="99"/>
    <w:rsid w:val="008F262D"/>
    <w:rPr>
      <w:rFonts w:ascii="Georgia" w:hAnsi="Georgia"/>
      <w:color w:val="000000" w:themeColor="text1"/>
    </w:rPr>
  </w:style>
  <w:style w:type="character" w:customStyle="1" w:styleId="Heading2Char">
    <w:name w:val="Heading 2 Char"/>
    <w:basedOn w:val="DefaultParagraphFont"/>
    <w:link w:val="Heading2"/>
    <w:uiPriority w:val="9"/>
    <w:rsid w:val="009A7D14"/>
    <w:rPr>
      <w:rFonts w:ascii="Georgia" w:hAnsi="Georgia"/>
      <w:b/>
      <w:noProof/>
      <w:color w:val="4B8CCA"/>
      <w:sz w:val="32"/>
      <w:szCs w:val="32"/>
    </w:rPr>
  </w:style>
  <w:style w:type="character" w:customStyle="1" w:styleId="Heading3Char">
    <w:name w:val="Heading 3 Char"/>
    <w:basedOn w:val="DefaultParagraphFont"/>
    <w:link w:val="Heading3"/>
    <w:uiPriority w:val="9"/>
    <w:rsid w:val="009D5B09"/>
    <w:rPr>
      <w:rFonts w:ascii="Georgia" w:hAnsi="Georgia"/>
      <w:b/>
      <w:noProof/>
      <w:color w:val="000000" w:themeColor="text1"/>
    </w:rPr>
  </w:style>
  <w:style w:type="paragraph" w:styleId="ListParagraph">
    <w:name w:val="List Paragraph"/>
    <w:basedOn w:val="Normal"/>
    <w:uiPriority w:val="34"/>
    <w:unhideWhenUsed/>
    <w:qFormat/>
    <w:rsid w:val="001A70FA"/>
    <w:pPr>
      <w:ind w:left="720"/>
      <w:contextualSpacing/>
    </w:pPr>
  </w:style>
  <w:style w:type="paragraph" w:customStyle="1" w:styleId="Bullet1">
    <w:name w:val="Bullet1"/>
    <w:basedOn w:val="ListParagraph"/>
    <w:qFormat/>
    <w:rsid w:val="006F72E8"/>
    <w:pPr>
      <w:numPr>
        <w:numId w:val="19"/>
      </w:numPr>
      <w:spacing w:after="0"/>
    </w:pPr>
  </w:style>
  <w:style w:type="paragraph" w:customStyle="1" w:styleId="F1">
    <w:name w:val="F1"/>
    <w:basedOn w:val="Normal"/>
    <w:next w:val="Normal"/>
    <w:qFormat/>
    <w:rsid w:val="00CA0FFA"/>
    <w:pPr>
      <w:spacing w:before="120"/>
      <w:jc w:val="center"/>
    </w:pPr>
    <w:rPr>
      <w:i/>
      <w:iCs/>
      <w:noProof/>
      <w:sz w:val="20"/>
    </w:rPr>
  </w:style>
  <w:style w:type="paragraph" w:customStyle="1" w:styleId="Bullet2">
    <w:name w:val="Bullet2"/>
    <w:basedOn w:val="Normal"/>
    <w:qFormat/>
    <w:rsid w:val="00DE1BC9"/>
    <w:pPr>
      <w:numPr>
        <w:ilvl w:val="1"/>
        <w:numId w:val="22"/>
      </w:numPr>
      <w:ind w:left="1170" w:hanging="270"/>
      <w:contextualSpacing/>
    </w:pPr>
  </w:style>
  <w:style w:type="character" w:styleId="Hyperlink">
    <w:name w:val="Hyperlink"/>
    <w:basedOn w:val="DefaultParagraphFont"/>
    <w:uiPriority w:val="99"/>
    <w:unhideWhenUsed/>
    <w:rsid w:val="00FB1A31"/>
    <w:rPr>
      <w:color w:val="C15105"/>
      <w:u w:val="single"/>
    </w:rPr>
  </w:style>
  <w:style w:type="character" w:styleId="UnresolvedMention">
    <w:name w:val="Unresolved Mention"/>
    <w:basedOn w:val="DefaultParagraphFont"/>
    <w:uiPriority w:val="99"/>
    <w:semiHidden/>
    <w:unhideWhenUsed/>
    <w:rsid w:val="00FB1A31"/>
    <w:rPr>
      <w:color w:val="605E5C"/>
      <w:shd w:val="clear" w:color="auto" w:fill="E1DFDD"/>
    </w:rPr>
  </w:style>
  <w:style w:type="character" w:styleId="FollowedHyperlink">
    <w:name w:val="FollowedHyperlink"/>
    <w:basedOn w:val="DefaultParagraphFont"/>
    <w:uiPriority w:val="99"/>
    <w:semiHidden/>
    <w:unhideWhenUsed/>
    <w:rsid w:val="004D72B8"/>
    <w:rPr>
      <w:color w:val="A96EB6" w:themeColor="followedHyperlink"/>
      <w:u w:val="single"/>
    </w:rPr>
  </w:style>
  <w:style w:type="paragraph" w:customStyle="1" w:styleId="LastBullet1">
    <w:name w:val="Last Bullet1"/>
    <w:basedOn w:val="LastBullet2"/>
    <w:qFormat/>
    <w:rsid w:val="00FA6C9F"/>
    <w:pPr>
      <w:numPr>
        <w:ilvl w:val="0"/>
      </w:numPr>
    </w:pPr>
  </w:style>
  <w:style w:type="paragraph" w:customStyle="1" w:styleId="LastBullet2">
    <w:name w:val="Last Bullet2"/>
    <w:basedOn w:val="Bullet2"/>
    <w:next w:val="Bullet2"/>
    <w:qFormat/>
    <w:rsid w:val="004F2D34"/>
    <w:pPr>
      <w:spacing w:after="360"/>
      <w:ind w:left="1181" w:hanging="274"/>
    </w:pPr>
  </w:style>
  <w:style w:type="paragraph" w:customStyle="1" w:styleId="APA1">
    <w:name w:val="APA1"/>
    <w:qFormat/>
    <w:rsid w:val="006D16C1"/>
    <w:pPr>
      <w:ind w:left="720" w:hanging="720"/>
    </w:pPr>
    <w:rPr>
      <w:rFonts w:ascii="Calibri" w:hAnsi="Calibri"/>
      <w:color w:val="000000" w:themeColor="text1"/>
    </w:rPr>
  </w:style>
  <w:style w:type="character" w:styleId="CommentReference">
    <w:name w:val="annotation reference"/>
    <w:basedOn w:val="DefaultParagraphFont"/>
    <w:uiPriority w:val="99"/>
    <w:semiHidden/>
    <w:unhideWhenUsed/>
    <w:rsid w:val="00F25D46"/>
    <w:rPr>
      <w:sz w:val="16"/>
      <w:szCs w:val="16"/>
    </w:rPr>
  </w:style>
  <w:style w:type="paragraph" w:styleId="CommentText">
    <w:name w:val="annotation text"/>
    <w:basedOn w:val="Normal"/>
    <w:link w:val="CommentTextChar"/>
    <w:uiPriority w:val="99"/>
    <w:semiHidden/>
    <w:unhideWhenUsed/>
    <w:rsid w:val="00F25D46"/>
    <w:rPr>
      <w:sz w:val="20"/>
      <w:szCs w:val="20"/>
    </w:rPr>
  </w:style>
  <w:style w:type="character" w:customStyle="1" w:styleId="CommentTextChar">
    <w:name w:val="Comment Text Char"/>
    <w:basedOn w:val="DefaultParagraphFont"/>
    <w:link w:val="CommentText"/>
    <w:uiPriority w:val="99"/>
    <w:semiHidden/>
    <w:rsid w:val="00F25D46"/>
    <w:rPr>
      <w:rFonts w:ascii="Calibri" w:hAnsi="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25D46"/>
    <w:rPr>
      <w:b/>
      <w:bCs/>
    </w:rPr>
  </w:style>
  <w:style w:type="character" w:customStyle="1" w:styleId="CommentSubjectChar">
    <w:name w:val="Comment Subject Char"/>
    <w:basedOn w:val="CommentTextChar"/>
    <w:link w:val="CommentSubject"/>
    <w:uiPriority w:val="99"/>
    <w:semiHidden/>
    <w:rsid w:val="00F25D46"/>
    <w:rPr>
      <w:rFonts w:ascii="Calibri" w:hAnsi="Calibri"/>
      <w:b/>
      <w:bCs/>
      <w:color w:val="000000" w:themeColor="text1"/>
      <w:sz w:val="20"/>
      <w:szCs w:val="20"/>
    </w:rPr>
  </w:style>
  <w:style w:type="paragraph" w:styleId="BalloonText">
    <w:name w:val="Balloon Text"/>
    <w:basedOn w:val="Normal"/>
    <w:link w:val="BalloonTextChar"/>
    <w:uiPriority w:val="99"/>
    <w:semiHidden/>
    <w:unhideWhenUsed/>
    <w:rsid w:val="00F25D4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25D46"/>
    <w:rPr>
      <w:rFonts w:ascii="Times New Roman" w:hAnsi="Times New Roman" w:cs="Times New Roman"/>
      <w:color w:val="000000" w:themeColor="text1"/>
      <w:sz w:val="18"/>
      <w:szCs w:val="18"/>
    </w:rPr>
  </w:style>
  <w:style w:type="paragraph" w:styleId="Revision">
    <w:name w:val="Revision"/>
    <w:hidden/>
    <w:uiPriority w:val="99"/>
    <w:semiHidden/>
    <w:rsid w:val="00F25D46"/>
    <w:pPr>
      <w:spacing w:after="0" w:line="240" w:lineRule="auto"/>
    </w:pPr>
    <w:rPr>
      <w:rFonts w:ascii="Calibri" w:hAnsi="Calibri"/>
      <w:color w:val="000000" w:themeColor="text1"/>
    </w:rPr>
  </w:style>
  <w:style w:type="paragraph" w:customStyle="1" w:styleId="LastPara">
    <w:name w:val="Last Para"/>
    <w:qFormat/>
    <w:rsid w:val="001265AA"/>
    <w:pPr>
      <w:spacing w:line="240" w:lineRule="auto"/>
    </w:pPr>
    <w:rPr>
      <w:rFonts w:ascii="Calibri" w:hAnsi="Calibri"/>
      <w:color w:val="000000" w:themeColor="text1"/>
    </w:rPr>
  </w:style>
  <w:style w:type="table" w:styleId="TableGrid">
    <w:name w:val="Table Grid"/>
    <w:basedOn w:val="TableNormal"/>
    <w:uiPriority w:val="39"/>
    <w:rsid w:val="00047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575142"/>
    <w:pPr>
      <w:spacing w:after="0"/>
    </w:pPr>
    <w:rPr>
      <w:spacing w:val="-2"/>
      <w:sz w:val="22"/>
      <w:szCs w:val="22"/>
    </w:rPr>
  </w:style>
  <w:style w:type="paragraph" w:customStyle="1" w:styleId="TableHeader">
    <w:name w:val="Table Header"/>
    <w:qFormat/>
    <w:rsid w:val="009B0117"/>
    <w:rPr>
      <w:rFonts w:ascii="Tahoma" w:hAnsi="Tahoma" w:cs="Tahoma"/>
      <w:b/>
      <w:bCs/>
      <w:color w:val="FFFFFF" w:themeColor="background1"/>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7672">
      <w:bodyDiv w:val="1"/>
      <w:marLeft w:val="0"/>
      <w:marRight w:val="0"/>
      <w:marTop w:val="0"/>
      <w:marBottom w:val="0"/>
      <w:divBdr>
        <w:top w:val="none" w:sz="0" w:space="0" w:color="auto"/>
        <w:left w:val="none" w:sz="0" w:space="0" w:color="auto"/>
        <w:bottom w:val="none" w:sz="0" w:space="0" w:color="auto"/>
        <w:right w:val="none" w:sz="0" w:space="0" w:color="auto"/>
      </w:divBdr>
    </w:div>
    <w:div w:id="528879158">
      <w:bodyDiv w:val="1"/>
      <w:marLeft w:val="0"/>
      <w:marRight w:val="0"/>
      <w:marTop w:val="0"/>
      <w:marBottom w:val="0"/>
      <w:divBdr>
        <w:top w:val="none" w:sz="0" w:space="0" w:color="auto"/>
        <w:left w:val="none" w:sz="0" w:space="0" w:color="auto"/>
        <w:bottom w:val="none" w:sz="0" w:space="0" w:color="auto"/>
        <w:right w:val="none" w:sz="0" w:space="0" w:color="auto"/>
      </w:divBdr>
    </w:div>
    <w:div w:id="611593450">
      <w:bodyDiv w:val="1"/>
      <w:marLeft w:val="0"/>
      <w:marRight w:val="0"/>
      <w:marTop w:val="0"/>
      <w:marBottom w:val="0"/>
      <w:divBdr>
        <w:top w:val="none" w:sz="0" w:space="0" w:color="auto"/>
        <w:left w:val="none" w:sz="0" w:space="0" w:color="auto"/>
        <w:bottom w:val="none" w:sz="0" w:space="0" w:color="auto"/>
        <w:right w:val="none" w:sz="0" w:space="0" w:color="auto"/>
      </w:divBdr>
    </w:div>
    <w:div w:id="836112377">
      <w:bodyDiv w:val="1"/>
      <w:marLeft w:val="0"/>
      <w:marRight w:val="0"/>
      <w:marTop w:val="0"/>
      <w:marBottom w:val="0"/>
      <w:divBdr>
        <w:top w:val="none" w:sz="0" w:space="0" w:color="auto"/>
        <w:left w:val="none" w:sz="0" w:space="0" w:color="auto"/>
        <w:bottom w:val="none" w:sz="0" w:space="0" w:color="auto"/>
        <w:right w:val="none" w:sz="0" w:space="0" w:color="auto"/>
      </w:divBdr>
    </w:div>
    <w:div w:id="1459450528">
      <w:bodyDiv w:val="1"/>
      <w:marLeft w:val="0"/>
      <w:marRight w:val="0"/>
      <w:marTop w:val="0"/>
      <w:marBottom w:val="0"/>
      <w:divBdr>
        <w:top w:val="none" w:sz="0" w:space="0" w:color="auto"/>
        <w:left w:val="none" w:sz="0" w:space="0" w:color="auto"/>
        <w:bottom w:val="none" w:sz="0" w:space="0" w:color="auto"/>
        <w:right w:val="none" w:sz="0" w:space="0" w:color="auto"/>
      </w:divBdr>
    </w:div>
    <w:div w:id="1611888297">
      <w:bodyDiv w:val="1"/>
      <w:marLeft w:val="0"/>
      <w:marRight w:val="0"/>
      <w:marTop w:val="0"/>
      <w:marBottom w:val="0"/>
      <w:divBdr>
        <w:top w:val="none" w:sz="0" w:space="0" w:color="auto"/>
        <w:left w:val="none" w:sz="0" w:space="0" w:color="auto"/>
        <w:bottom w:val="none" w:sz="0" w:space="0" w:color="auto"/>
        <w:right w:val="none" w:sz="0" w:space="0" w:color="auto"/>
      </w:divBdr>
    </w:div>
    <w:div w:id="1612933955">
      <w:bodyDiv w:val="1"/>
      <w:marLeft w:val="0"/>
      <w:marRight w:val="0"/>
      <w:marTop w:val="0"/>
      <w:marBottom w:val="0"/>
      <w:divBdr>
        <w:top w:val="none" w:sz="0" w:space="0" w:color="auto"/>
        <w:left w:val="none" w:sz="0" w:space="0" w:color="auto"/>
        <w:bottom w:val="none" w:sz="0" w:space="0" w:color="auto"/>
        <w:right w:val="none" w:sz="0" w:space="0" w:color="auto"/>
      </w:divBdr>
    </w:div>
    <w:div w:id="2082175208">
      <w:bodyDiv w:val="1"/>
      <w:marLeft w:val="0"/>
      <w:marRight w:val="0"/>
      <w:marTop w:val="0"/>
      <w:marBottom w:val="0"/>
      <w:divBdr>
        <w:top w:val="none" w:sz="0" w:space="0" w:color="auto"/>
        <w:left w:val="none" w:sz="0" w:space="0" w:color="auto"/>
        <w:bottom w:val="none" w:sz="0" w:space="0" w:color="auto"/>
        <w:right w:val="none" w:sz="0" w:space="0" w:color="auto"/>
      </w:divBdr>
      <w:divsChild>
        <w:div w:id="1721325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bsph-idare@jh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ie@jh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hu-gme-advocate.symplicity.com/care_report/index.php/pid582027?" TargetMode="External"/><Relationship Id="rId4" Type="http://schemas.openxmlformats.org/officeDocument/2006/relationships/webSettings" Target="webSettings.xml"/><Relationship Id="rId9" Type="http://schemas.openxmlformats.org/officeDocument/2006/relationships/hyperlink" Target="https://oie.jhu.edu/religious-accommodation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publichealth.jhu.edu/offices-and-services/office-of-inclusion-diversity-anti-racism-and-equity-idare" TargetMode="External"/><Relationship Id="rId1" Type="http://schemas.openxmlformats.org/officeDocument/2006/relationships/hyperlink" Target="https://publichealth.jh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ymunoz/OneDrive%20-%20Johns%20Hopkins%20University/TW%20Shared/Tech%20Writer%20Guides/templates/ctl-stylesheet-june25.dotx" TargetMode="Externa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ctl-stylesheet-june25.dotx</Template>
  <TotalTime>29</TotalTime>
  <Pages>3</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Staff Meeting: September 1, 2020</vt:lpstr>
    </vt:vector>
  </TitlesOfParts>
  <Manager/>
  <Company/>
  <LinksUpToDate>false</LinksUpToDate>
  <CharactersWithSpaces>4258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Religious and Spiritual Observances for Winter, Spring, and Summer 2025</dc:title>
  <dc:subject/>
  <dc:creator>Johns Hopkins Bloomberg School of Public Health</dc:creator>
  <cp:keywords/>
  <dc:description>Author: Johns Hopkins University
The material in this document is subject to the copyright of the owners of the material and is being provided for educational purposes under rules of fair use for registered students in this course only. No additional copies of the copyrighted work may be made or distributed.
Template last modified February 10, 2025</dc:description>
  <cp:lastModifiedBy>Mary Munoz</cp:lastModifiedBy>
  <cp:revision>29</cp:revision>
  <cp:lastPrinted>2020-06-10T18:42:00Z</cp:lastPrinted>
  <dcterms:created xsi:type="dcterms:W3CDTF">2025-02-10T20:18:00Z</dcterms:created>
  <dcterms:modified xsi:type="dcterms:W3CDTF">2025-02-11T14:04:00Z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ies>
</file>