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ECB5" w14:textId="77777777" w:rsidR="00A02597" w:rsidRDefault="00A025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793"/>
        <w:gridCol w:w="5742"/>
      </w:tblGrid>
      <w:tr w:rsidR="0037505F" w14:paraId="7C28E193" w14:textId="77777777" w:rsidTr="008D5506">
        <w:tc>
          <w:tcPr>
            <w:tcW w:w="3438" w:type="dxa"/>
          </w:tcPr>
          <w:p w14:paraId="0667D0F2" w14:textId="77777777" w:rsidR="0037505F" w:rsidRPr="00F46CBD" w:rsidRDefault="0037505F" w:rsidP="0037505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Main Tabs</w:t>
            </w:r>
          </w:p>
        </w:tc>
        <w:tc>
          <w:tcPr>
            <w:tcW w:w="3870" w:type="dxa"/>
          </w:tcPr>
          <w:p w14:paraId="57C78AAF" w14:textId="77777777" w:rsidR="0037505F" w:rsidRPr="00F46CBD" w:rsidRDefault="0037505F" w:rsidP="0037505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Sublevel 1</w:t>
            </w:r>
          </w:p>
        </w:tc>
        <w:tc>
          <w:tcPr>
            <w:tcW w:w="5868" w:type="dxa"/>
          </w:tcPr>
          <w:p w14:paraId="1D205350" w14:textId="77777777" w:rsidR="0037505F" w:rsidRDefault="0037505F" w:rsidP="003750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Sublevel 2</w:t>
            </w:r>
          </w:p>
        </w:tc>
      </w:tr>
      <w:tr w:rsidR="00A02597" w14:paraId="3CC7DD3A" w14:textId="77777777" w:rsidTr="008D5506">
        <w:tc>
          <w:tcPr>
            <w:tcW w:w="3438" w:type="dxa"/>
          </w:tcPr>
          <w:p w14:paraId="4762C97A" w14:textId="77777777" w:rsidR="00A02597" w:rsidRPr="00F46CBD" w:rsidRDefault="00A02597" w:rsidP="009D209B">
            <w:pPr>
              <w:rPr>
                <w:sz w:val="28"/>
                <w:szCs w:val="28"/>
              </w:rPr>
            </w:pPr>
            <w:r w:rsidRPr="00F46CBD">
              <w:rPr>
                <w:b/>
                <w:i/>
                <w:sz w:val="28"/>
                <w:szCs w:val="28"/>
                <w:u w:val="single"/>
              </w:rPr>
              <w:t>IRB Submissions/Approved Documents</w:t>
            </w:r>
          </w:p>
        </w:tc>
        <w:tc>
          <w:tcPr>
            <w:tcW w:w="3870" w:type="dxa"/>
          </w:tcPr>
          <w:p w14:paraId="33D81793" w14:textId="77777777" w:rsidR="00A02597" w:rsidRPr="00F46CBD" w:rsidRDefault="00A02597" w:rsidP="00A02597">
            <w:pPr>
              <w:rPr>
                <w:b/>
                <w:i/>
                <w:sz w:val="28"/>
                <w:szCs w:val="28"/>
              </w:rPr>
            </w:pPr>
            <w:r w:rsidRPr="00F46CBD">
              <w:rPr>
                <w:b/>
                <w:i/>
                <w:sz w:val="28"/>
                <w:szCs w:val="28"/>
              </w:rPr>
              <w:t xml:space="preserve">Study Research Plan/Protocol </w:t>
            </w:r>
          </w:p>
          <w:p w14:paraId="040D3C78" w14:textId="77777777" w:rsidR="00A02597" w:rsidRPr="00F46CBD" w:rsidRDefault="00A02597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0AD587D0" w14:textId="77777777" w:rsidR="00A02597" w:rsidRPr="00A02597" w:rsidRDefault="00A02597" w:rsidP="00CB5398">
            <w:pPr>
              <w:contextualSpacing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The most updated, currently approved</w:t>
            </w:r>
            <w:r w:rsidR="00C5051B">
              <w:rPr>
                <w:sz w:val="24"/>
                <w:szCs w:val="24"/>
              </w:rPr>
              <w:t xml:space="preserve"> </w:t>
            </w:r>
            <w:r w:rsidR="00CB5398">
              <w:rPr>
                <w:sz w:val="24"/>
                <w:szCs w:val="24"/>
              </w:rPr>
              <w:t xml:space="preserve">version of the </w:t>
            </w:r>
            <w:r w:rsidR="00C5051B">
              <w:rPr>
                <w:sz w:val="24"/>
                <w:szCs w:val="24"/>
              </w:rPr>
              <w:t>research plan</w:t>
            </w:r>
            <w:r>
              <w:rPr>
                <w:sz w:val="24"/>
                <w:szCs w:val="24"/>
              </w:rPr>
              <w:t>.</w:t>
            </w:r>
          </w:p>
        </w:tc>
      </w:tr>
      <w:tr w:rsidR="008D5506" w14:paraId="77848AC3" w14:textId="77777777" w:rsidTr="008D5506">
        <w:tc>
          <w:tcPr>
            <w:tcW w:w="3438" w:type="dxa"/>
            <w:vMerge w:val="restart"/>
          </w:tcPr>
          <w:p w14:paraId="5A7EC96B" w14:textId="77777777" w:rsidR="008D5506" w:rsidRDefault="008D5506"/>
        </w:tc>
        <w:tc>
          <w:tcPr>
            <w:tcW w:w="3870" w:type="dxa"/>
          </w:tcPr>
          <w:p w14:paraId="4D01F56C" w14:textId="77777777" w:rsidR="008D5506" w:rsidRPr="00F46CBD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5F310B1F" w14:textId="77777777" w:rsidR="008D5506" w:rsidRDefault="008D5506" w:rsidP="009D209B">
            <w:pPr>
              <w:contextualSpacing/>
            </w:pPr>
            <w:r>
              <w:rPr>
                <w:sz w:val="24"/>
                <w:szCs w:val="24"/>
              </w:rPr>
              <w:t xml:space="preserve">All </w:t>
            </w:r>
            <w:proofErr w:type="spellStart"/>
            <w:r>
              <w:rPr>
                <w:sz w:val="24"/>
                <w:szCs w:val="24"/>
              </w:rPr>
              <w:t>superceded</w:t>
            </w:r>
            <w:proofErr w:type="spellEnd"/>
            <w:r>
              <w:rPr>
                <w:sz w:val="24"/>
                <w:szCs w:val="24"/>
              </w:rPr>
              <w:t xml:space="preserve"> versions of the research plan.</w:t>
            </w:r>
          </w:p>
        </w:tc>
      </w:tr>
      <w:tr w:rsidR="008D5506" w14:paraId="10F04F2E" w14:textId="77777777" w:rsidTr="008D5506">
        <w:tc>
          <w:tcPr>
            <w:tcW w:w="3438" w:type="dxa"/>
            <w:vMerge/>
          </w:tcPr>
          <w:p w14:paraId="32CC4743" w14:textId="77777777" w:rsidR="008D5506" w:rsidRDefault="008D5506"/>
        </w:tc>
        <w:tc>
          <w:tcPr>
            <w:tcW w:w="3870" w:type="dxa"/>
          </w:tcPr>
          <w:p w14:paraId="61D6A8E2" w14:textId="77777777" w:rsidR="008D5506" w:rsidRPr="00F46CBD" w:rsidRDefault="008D5506" w:rsidP="009D209B">
            <w:pPr>
              <w:rPr>
                <w:b/>
                <w:sz w:val="28"/>
                <w:szCs w:val="28"/>
              </w:rPr>
            </w:pPr>
            <w:r w:rsidRPr="00F46CBD">
              <w:rPr>
                <w:b/>
                <w:i/>
                <w:sz w:val="28"/>
                <w:szCs w:val="28"/>
              </w:rPr>
              <w:t>Informed Consent &amp; Assent Forms</w:t>
            </w:r>
          </w:p>
        </w:tc>
        <w:tc>
          <w:tcPr>
            <w:tcW w:w="5868" w:type="dxa"/>
          </w:tcPr>
          <w:p w14:paraId="0319D440" w14:textId="77777777" w:rsidR="008D5506" w:rsidRDefault="008D5506">
            <w:r>
              <w:rPr>
                <w:sz w:val="24"/>
                <w:szCs w:val="24"/>
              </w:rPr>
              <w:t>The most updated, currently approved versions of consent/assent forms</w:t>
            </w:r>
          </w:p>
        </w:tc>
      </w:tr>
      <w:tr w:rsidR="008D5506" w14:paraId="2EAD32F1" w14:textId="77777777" w:rsidTr="008D5506">
        <w:tc>
          <w:tcPr>
            <w:tcW w:w="3438" w:type="dxa"/>
            <w:vMerge/>
          </w:tcPr>
          <w:p w14:paraId="6E1A4677" w14:textId="77777777" w:rsidR="008D5506" w:rsidRDefault="008D5506"/>
        </w:tc>
        <w:tc>
          <w:tcPr>
            <w:tcW w:w="3870" w:type="dxa"/>
            <w:vMerge w:val="restart"/>
          </w:tcPr>
          <w:p w14:paraId="010E4144" w14:textId="77777777" w:rsidR="008D5506" w:rsidRPr="00F46CBD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1AEA6EE6" w14:textId="77777777" w:rsidR="008D5506" w:rsidRDefault="008D5506" w:rsidP="009D209B">
            <w:pPr>
              <w:contextualSpacing/>
            </w:pPr>
            <w:r>
              <w:rPr>
                <w:sz w:val="24"/>
                <w:szCs w:val="24"/>
              </w:rPr>
              <w:t>All expired/</w:t>
            </w:r>
            <w:proofErr w:type="spellStart"/>
            <w:r>
              <w:rPr>
                <w:sz w:val="24"/>
                <w:szCs w:val="24"/>
              </w:rPr>
              <w:t>superceded</w:t>
            </w:r>
            <w:proofErr w:type="spellEnd"/>
            <w:r>
              <w:rPr>
                <w:sz w:val="24"/>
                <w:szCs w:val="24"/>
              </w:rPr>
              <w:t xml:space="preserve"> versions of the consent/assent forms.</w:t>
            </w:r>
          </w:p>
        </w:tc>
      </w:tr>
      <w:tr w:rsidR="008D5506" w14:paraId="3360369C" w14:textId="77777777" w:rsidTr="008D5506">
        <w:tc>
          <w:tcPr>
            <w:tcW w:w="3438" w:type="dxa"/>
            <w:vMerge/>
          </w:tcPr>
          <w:p w14:paraId="45880E2C" w14:textId="77777777" w:rsidR="008D5506" w:rsidRDefault="008D5506"/>
        </w:tc>
        <w:tc>
          <w:tcPr>
            <w:tcW w:w="3870" w:type="dxa"/>
            <w:vMerge/>
          </w:tcPr>
          <w:p w14:paraId="0F947C2D" w14:textId="77777777" w:rsidR="008D5506" w:rsidRPr="00F46CBD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4E6C7F65" w14:textId="77777777" w:rsidR="008D5506" w:rsidRDefault="008D5506" w:rsidP="009D209B">
            <w:pPr>
              <w:contextualSpacing/>
            </w:pPr>
            <w:r>
              <w:rPr>
                <w:sz w:val="24"/>
                <w:szCs w:val="24"/>
              </w:rPr>
              <w:t>Consent Revision log (</w:t>
            </w:r>
            <w:proofErr w:type="gramStart"/>
            <w:r w:rsidRPr="002F2ECD">
              <w:rPr>
                <w:b/>
                <w:sz w:val="24"/>
                <w:szCs w:val="24"/>
              </w:rPr>
              <w:t>optional</w:t>
            </w:r>
            <w:r>
              <w:rPr>
                <w:b/>
                <w:sz w:val="24"/>
                <w:szCs w:val="24"/>
              </w:rPr>
              <w:t>, but</w:t>
            </w:r>
            <w:proofErr w:type="gramEnd"/>
            <w:r>
              <w:rPr>
                <w:b/>
                <w:sz w:val="24"/>
                <w:szCs w:val="24"/>
              </w:rPr>
              <w:t xml:space="preserve"> recommended</w:t>
            </w:r>
            <w:r>
              <w:rPr>
                <w:sz w:val="24"/>
                <w:szCs w:val="24"/>
              </w:rPr>
              <w:t>) – tracking changes to consent/assent forms, the date submitted for IRB review, and date approved by the IRB.</w:t>
            </w:r>
          </w:p>
        </w:tc>
      </w:tr>
      <w:tr w:rsidR="008D5506" w14:paraId="15F98519" w14:textId="77777777" w:rsidTr="008D5506">
        <w:tc>
          <w:tcPr>
            <w:tcW w:w="3438" w:type="dxa"/>
            <w:vMerge/>
          </w:tcPr>
          <w:p w14:paraId="0D1BCE40" w14:textId="77777777" w:rsidR="008D5506" w:rsidRDefault="008D5506"/>
        </w:tc>
        <w:tc>
          <w:tcPr>
            <w:tcW w:w="3870" w:type="dxa"/>
          </w:tcPr>
          <w:p w14:paraId="7EC41CFA" w14:textId="77777777" w:rsidR="008D5506" w:rsidRPr="00F46CBD" w:rsidRDefault="008D5506" w:rsidP="009D209B">
            <w:pPr>
              <w:rPr>
                <w:b/>
                <w:i/>
                <w:sz w:val="28"/>
                <w:szCs w:val="28"/>
              </w:rPr>
            </w:pPr>
            <w:r w:rsidRPr="00F46CBD">
              <w:rPr>
                <w:b/>
                <w:i/>
                <w:sz w:val="28"/>
                <w:szCs w:val="28"/>
              </w:rPr>
              <w:t>Recruitment Materials</w:t>
            </w:r>
          </w:p>
          <w:p w14:paraId="449897B5" w14:textId="77777777" w:rsidR="008D5506" w:rsidRPr="00F46CBD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2D00E262" w14:textId="77777777" w:rsidR="008D5506" w:rsidRPr="009D209B" w:rsidRDefault="008D5506" w:rsidP="009D20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currently IRB approved recruitment materials </w:t>
            </w:r>
          </w:p>
        </w:tc>
      </w:tr>
      <w:tr w:rsidR="008D5506" w14:paraId="44107C82" w14:textId="77777777" w:rsidTr="008D5506">
        <w:tc>
          <w:tcPr>
            <w:tcW w:w="3438" w:type="dxa"/>
            <w:vMerge/>
          </w:tcPr>
          <w:p w14:paraId="2073CC1A" w14:textId="77777777" w:rsidR="008D5506" w:rsidRDefault="008D5506"/>
        </w:tc>
        <w:tc>
          <w:tcPr>
            <w:tcW w:w="3870" w:type="dxa"/>
            <w:vMerge w:val="restart"/>
          </w:tcPr>
          <w:p w14:paraId="1569C7E1" w14:textId="77777777" w:rsidR="008D5506" w:rsidRPr="00F46CBD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1625D2B1" w14:textId="77777777" w:rsidR="008D5506" w:rsidRPr="009D209B" w:rsidRDefault="008D550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  <w:proofErr w:type="spellStart"/>
            <w:r>
              <w:rPr>
                <w:sz w:val="24"/>
                <w:szCs w:val="24"/>
              </w:rPr>
              <w:t>superceded</w:t>
            </w:r>
            <w:proofErr w:type="spellEnd"/>
            <w:r>
              <w:rPr>
                <w:sz w:val="24"/>
                <w:szCs w:val="24"/>
              </w:rPr>
              <w:t xml:space="preserve"> versions of recruitment materials.</w:t>
            </w:r>
          </w:p>
        </w:tc>
      </w:tr>
      <w:tr w:rsidR="008D5506" w14:paraId="2AEEBE50" w14:textId="77777777" w:rsidTr="008D5506">
        <w:tc>
          <w:tcPr>
            <w:tcW w:w="3438" w:type="dxa"/>
            <w:vMerge/>
          </w:tcPr>
          <w:p w14:paraId="47856782" w14:textId="77777777" w:rsidR="008D5506" w:rsidRDefault="008D5506"/>
        </w:tc>
        <w:tc>
          <w:tcPr>
            <w:tcW w:w="3870" w:type="dxa"/>
            <w:vMerge/>
          </w:tcPr>
          <w:p w14:paraId="63E0CFB9" w14:textId="77777777" w:rsidR="008D5506" w:rsidRPr="00F46CBD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428DE2D2" w14:textId="77777777" w:rsidR="008D5506" w:rsidRDefault="008D5506" w:rsidP="009D20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Revision Log (</w:t>
            </w:r>
            <w:r w:rsidRPr="001D7850">
              <w:rPr>
                <w:b/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) tracking changes to materials, data submitted to the IRB, and date approved by the </w:t>
            </w:r>
            <w:proofErr w:type="gramStart"/>
            <w:r>
              <w:rPr>
                <w:sz w:val="24"/>
                <w:szCs w:val="24"/>
              </w:rPr>
              <w:t>IRB</w:t>
            </w:r>
            <w:proofErr w:type="gramEnd"/>
          </w:p>
          <w:p w14:paraId="58435A5E" w14:textId="77777777" w:rsidR="008D5506" w:rsidRDefault="008D5506"/>
        </w:tc>
      </w:tr>
      <w:tr w:rsidR="008D5506" w14:paraId="193282DD" w14:textId="77777777" w:rsidTr="008D5506">
        <w:tc>
          <w:tcPr>
            <w:tcW w:w="3438" w:type="dxa"/>
            <w:vMerge/>
          </w:tcPr>
          <w:p w14:paraId="2407C7B3" w14:textId="77777777" w:rsidR="008D5506" w:rsidRDefault="008D5506"/>
        </w:tc>
        <w:tc>
          <w:tcPr>
            <w:tcW w:w="3870" w:type="dxa"/>
          </w:tcPr>
          <w:p w14:paraId="5984E030" w14:textId="77777777" w:rsidR="008D5506" w:rsidRPr="00F46CBD" w:rsidRDefault="008D5506" w:rsidP="00991E0D">
            <w:pPr>
              <w:rPr>
                <w:b/>
                <w:i/>
                <w:sz w:val="28"/>
                <w:szCs w:val="28"/>
              </w:rPr>
            </w:pPr>
            <w:r w:rsidRPr="00F46CBD">
              <w:rPr>
                <w:b/>
                <w:i/>
                <w:sz w:val="28"/>
                <w:szCs w:val="28"/>
              </w:rPr>
              <w:t>Instruments</w:t>
            </w:r>
          </w:p>
          <w:p w14:paraId="59997A30" w14:textId="77777777" w:rsidR="008D5506" w:rsidRPr="00F46CBD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6FF15ABA" w14:textId="77777777" w:rsidR="008D5506" w:rsidRPr="00991E0D" w:rsidRDefault="008D5506" w:rsidP="00991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current IRB approved instruments</w:t>
            </w:r>
          </w:p>
        </w:tc>
      </w:tr>
      <w:tr w:rsidR="008D5506" w14:paraId="0FFC90EB" w14:textId="77777777" w:rsidTr="008D5506">
        <w:tc>
          <w:tcPr>
            <w:tcW w:w="3438" w:type="dxa"/>
            <w:vMerge/>
          </w:tcPr>
          <w:p w14:paraId="41D32456" w14:textId="77777777" w:rsidR="008D5506" w:rsidRDefault="008D5506"/>
        </w:tc>
        <w:tc>
          <w:tcPr>
            <w:tcW w:w="3870" w:type="dxa"/>
            <w:vMerge w:val="restart"/>
          </w:tcPr>
          <w:p w14:paraId="5C25DF17" w14:textId="77777777" w:rsidR="008D5506" w:rsidRPr="00F46CBD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33EC6C1E" w14:textId="77777777" w:rsidR="008D5506" w:rsidRPr="00991E0D" w:rsidRDefault="008D5506" w:rsidP="00991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  <w:proofErr w:type="spellStart"/>
            <w:r>
              <w:rPr>
                <w:sz w:val="24"/>
                <w:szCs w:val="24"/>
              </w:rPr>
              <w:t>superceded</w:t>
            </w:r>
            <w:proofErr w:type="spellEnd"/>
            <w:r>
              <w:rPr>
                <w:sz w:val="24"/>
                <w:szCs w:val="24"/>
              </w:rPr>
              <w:t xml:space="preserve"> versions of instruments.</w:t>
            </w:r>
          </w:p>
        </w:tc>
      </w:tr>
      <w:tr w:rsidR="008D5506" w14:paraId="50831FC0" w14:textId="77777777" w:rsidTr="008D5506">
        <w:tc>
          <w:tcPr>
            <w:tcW w:w="3438" w:type="dxa"/>
            <w:vMerge/>
          </w:tcPr>
          <w:p w14:paraId="67504EED" w14:textId="77777777" w:rsidR="008D5506" w:rsidRDefault="008D5506"/>
        </w:tc>
        <w:tc>
          <w:tcPr>
            <w:tcW w:w="3870" w:type="dxa"/>
            <w:vMerge/>
          </w:tcPr>
          <w:p w14:paraId="0EF0C5D9" w14:textId="77777777" w:rsidR="008D5506" w:rsidRPr="00F46CBD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45E2D0F3" w14:textId="77777777" w:rsidR="008D5506" w:rsidRDefault="008D5506" w:rsidP="00991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Revision Log (</w:t>
            </w:r>
            <w:r w:rsidRPr="001D7850">
              <w:rPr>
                <w:b/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) tracking changes to instruments, data submitted to the IRB, and date approved by the </w:t>
            </w:r>
            <w:proofErr w:type="gramStart"/>
            <w:r>
              <w:rPr>
                <w:sz w:val="24"/>
                <w:szCs w:val="24"/>
              </w:rPr>
              <w:t>IRB</w:t>
            </w:r>
            <w:proofErr w:type="gramEnd"/>
          </w:p>
          <w:p w14:paraId="2976E02E" w14:textId="77777777" w:rsidR="008D5506" w:rsidRDefault="008D5506"/>
        </w:tc>
      </w:tr>
      <w:tr w:rsidR="009D209B" w14:paraId="4868F80B" w14:textId="77777777" w:rsidTr="008D5506">
        <w:tc>
          <w:tcPr>
            <w:tcW w:w="3438" w:type="dxa"/>
          </w:tcPr>
          <w:p w14:paraId="5165D6D3" w14:textId="77777777" w:rsidR="009D209B" w:rsidRDefault="009D209B"/>
        </w:tc>
        <w:tc>
          <w:tcPr>
            <w:tcW w:w="3870" w:type="dxa"/>
          </w:tcPr>
          <w:p w14:paraId="4AEF40D5" w14:textId="77777777" w:rsidR="00C43767" w:rsidRPr="00F46CBD" w:rsidRDefault="00C43767" w:rsidP="00C43767">
            <w:pPr>
              <w:rPr>
                <w:b/>
                <w:i/>
                <w:sz w:val="28"/>
                <w:szCs w:val="28"/>
              </w:rPr>
            </w:pPr>
            <w:r w:rsidRPr="00F46CBD">
              <w:rPr>
                <w:b/>
                <w:i/>
                <w:sz w:val="28"/>
                <w:szCs w:val="28"/>
              </w:rPr>
              <w:t>Adverse Events &amp; Unanticipated Problems (Problem Event Reports)</w:t>
            </w:r>
          </w:p>
          <w:p w14:paraId="5796FF99" w14:textId="77777777" w:rsidR="009D209B" w:rsidRPr="00F46CBD" w:rsidRDefault="009D209B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56D870B7" w14:textId="77777777" w:rsidR="009D209B" w:rsidRPr="00C43767" w:rsidRDefault="00CB5398" w:rsidP="00CB539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Reports to the IRB and c</w:t>
            </w:r>
            <w:r w:rsidR="00C43767">
              <w:rPr>
                <w:sz w:val="24"/>
                <w:szCs w:val="24"/>
              </w:rPr>
              <w:t>orrespondence regarding event</w:t>
            </w:r>
            <w:r w:rsidR="00157CA4">
              <w:rPr>
                <w:sz w:val="24"/>
                <w:szCs w:val="24"/>
              </w:rPr>
              <w:t xml:space="preserve"> and report </w:t>
            </w:r>
          </w:p>
        </w:tc>
      </w:tr>
      <w:tr w:rsidR="008D5506" w14:paraId="3A5B19A3" w14:textId="77777777" w:rsidTr="008D5506">
        <w:tc>
          <w:tcPr>
            <w:tcW w:w="3438" w:type="dxa"/>
            <w:vMerge w:val="restart"/>
          </w:tcPr>
          <w:p w14:paraId="7E00967C" w14:textId="77777777" w:rsidR="008D5506" w:rsidRDefault="008D5506"/>
        </w:tc>
        <w:tc>
          <w:tcPr>
            <w:tcW w:w="3870" w:type="dxa"/>
            <w:vMerge w:val="restart"/>
          </w:tcPr>
          <w:p w14:paraId="779A00BD" w14:textId="77777777" w:rsidR="008D5506" w:rsidRPr="00F46CBD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6A1B4FDD" w14:textId="77777777" w:rsidR="008D5506" w:rsidRDefault="008D5506" w:rsidP="00C437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IRB acknowledgment Letter</w:t>
            </w:r>
          </w:p>
          <w:p w14:paraId="34D3BF35" w14:textId="77777777" w:rsidR="008D5506" w:rsidRDefault="008D5506"/>
        </w:tc>
      </w:tr>
      <w:tr w:rsidR="008D5506" w14:paraId="10E1E7C5" w14:textId="77777777" w:rsidTr="008D5506">
        <w:tc>
          <w:tcPr>
            <w:tcW w:w="3438" w:type="dxa"/>
            <w:vMerge/>
          </w:tcPr>
          <w:p w14:paraId="53F363B2" w14:textId="77777777" w:rsidR="008D5506" w:rsidRDefault="008D5506"/>
        </w:tc>
        <w:tc>
          <w:tcPr>
            <w:tcW w:w="3870" w:type="dxa"/>
            <w:vMerge/>
          </w:tcPr>
          <w:p w14:paraId="3B448991" w14:textId="77777777" w:rsidR="008D5506" w:rsidRPr="00F46CBD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4F5E5AB7" w14:textId="77777777" w:rsidR="008D5506" w:rsidRDefault="008D5506" w:rsidP="00C43767">
            <w:pPr>
              <w:contextualSpacing/>
              <w:rPr>
                <w:sz w:val="24"/>
                <w:szCs w:val="24"/>
              </w:rPr>
            </w:pPr>
            <w:r w:rsidRPr="008C3203">
              <w:rPr>
                <w:sz w:val="24"/>
                <w:szCs w:val="24"/>
              </w:rPr>
              <w:t>Adverse Event and Unanticipated Problem Log (</w:t>
            </w:r>
            <w:r w:rsidRPr="008C3203">
              <w:rPr>
                <w:b/>
                <w:sz w:val="24"/>
                <w:szCs w:val="24"/>
              </w:rPr>
              <w:t>optional</w:t>
            </w:r>
            <w:r w:rsidRPr="008C3203">
              <w:rPr>
                <w:sz w:val="24"/>
                <w:szCs w:val="24"/>
              </w:rPr>
              <w:t xml:space="preserve">) </w:t>
            </w:r>
          </w:p>
          <w:p w14:paraId="71CAEC8E" w14:textId="77777777" w:rsidR="008D5506" w:rsidRDefault="008D5506"/>
        </w:tc>
      </w:tr>
      <w:tr w:rsidR="008D5506" w14:paraId="5D06CFED" w14:textId="77777777" w:rsidTr="008D5506">
        <w:tc>
          <w:tcPr>
            <w:tcW w:w="3438" w:type="dxa"/>
            <w:vMerge/>
          </w:tcPr>
          <w:p w14:paraId="45851E7F" w14:textId="77777777" w:rsidR="008D5506" w:rsidRDefault="008D5506"/>
        </w:tc>
        <w:tc>
          <w:tcPr>
            <w:tcW w:w="3870" w:type="dxa"/>
          </w:tcPr>
          <w:p w14:paraId="1EEFD53E" w14:textId="77777777" w:rsidR="008D5506" w:rsidRPr="00F46CBD" w:rsidRDefault="008D5506" w:rsidP="00BC3A39">
            <w:pPr>
              <w:rPr>
                <w:b/>
                <w:i/>
                <w:sz w:val="28"/>
                <w:szCs w:val="28"/>
              </w:rPr>
            </w:pPr>
            <w:r w:rsidRPr="00F46CBD">
              <w:rPr>
                <w:b/>
                <w:i/>
                <w:sz w:val="28"/>
                <w:szCs w:val="28"/>
              </w:rPr>
              <w:t>Protocol Deviations</w:t>
            </w:r>
          </w:p>
          <w:p w14:paraId="71D45C99" w14:textId="77777777" w:rsidR="008D5506" w:rsidRPr="00F46CBD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7AF158CF" w14:textId="77777777" w:rsidR="008D5506" w:rsidRDefault="008D5506" w:rsidP="00BC3A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Documents showing dates and reasons for any deviation from the protocol.</w:t>
            </w:r>
            <w:r w:rsidR="00C5051B">
              <w:rPr>
                <w:sz w:val="24"/>
                <w:szCs w:val="24"/>
              </w:rPr>
              <w:t xml:space="preserve"> </w:t>
            </w:r>
            <w:r w:rsidR="00CB5398">
              <w:rPr>
                <w:sz w:val="24"/>
                <w:szCs w:val="24"/>
              </w:rPr>
              <w:t xml:space="preserve">We </w:t>
            </w:r>
            <w:r w:rsidR="00C5051B">
              <w:rPr>
                <w:sz w:val="24"/>
                <w:szCs w:val="24"/>
              </w:rPr>
              <w:t xml:space="preserve">suggest </w:t>
            </w:r>
            <w:r w:rsidR="00CB5398">
              <w:rPr>
                <w:sz w:val="24"/>
                <w:szCs w:val="24"/>
              </w:rPr>
              <w:t>you keep</w:t>
            </w:r>
            <w:r w:rsidR="00C5051B">
              <w:rPr>
                <w:sz w:val="24"/>
                <w:szCs w:val="24"/>
              </w:rPr>
              <w:t xml:space="preserve"> </w:t>
            </w:r>
            <w:proofErr w:type="gramStart"/>
            <w:r w:rsidR="00C5051B">
              <w:rPr>
                <w:sz w:val="24"/>
                <w:szCs w:val="24"/>
              </w:rPr>
              <w:t>Protocol</w:t>
            </w:r>
            <w:proofErr w:type="gramEnd"/>
            <w:r w:rsidR="00C5051B">
              <w:rPr>
                <w:sz w:val="24"/>
                <w:szCs w:val="24"/>
              </w:rPr>
              <w:t xml:space="preserve"> deviation log </w:t>
            </w:r>
            <w:proofErr w:type="gramStart"/>
            <w:r w:rsidR="00C5051B">
              <w:rPr>
                <w:sz w:val="24"/>
                <w:szCs w:val="24"/>
              </w:rPr>
              <w:t>as a way to</w:t>
            </w:r>
            <w:proofErr w:type="gramEnd"/>
            <w:r w:rsidR="00C5051B">
              <w:rPr>
                <w:sz w:val="24"/>
                <w:szCs w:val="24"/>
              </w:rPr>
              <w:t xml:space="preserve"> keep track of deviations before they are reported with the annual progress report. </w:t>
            </w:r>
          </w:p>
          <w:p w14:paraId="17E8E786" w14:textId="77777777" w:rsidR="008D5506" w:rsidRDefault="008D5506"/>
        </w:tc>
      </w:tr>
      <w:tr w:rsidR="008D5506" w14:paraId="6EB58D1B" w14:textId="77777777" w:rsidTr="008D5506">
        <w:tc>
          <w:tcPr>
            <w:tcW w:w="3438" w:type="dxa"/>
            <w:vMerge/>
          </w:tcPr>
          <w:p w14:paraId="6963A58A" w14:textId="77777777" w:rsidR="008D5506" w:rsidRDefault="008D5506" w:rsidP="00F4366B"/>
        </w:tc>
        <w:tc>
          <w:tcPr>
            <w:tcW w:w="3870" w:type="dxa"/>
          </w:tcPr>
          <w:p w14:paraId="2ED2954C" w14:textId="77777777" w:rsidR="008D5506" w:rsidRPr="00F46CBD" w:rsidRDefault="008D5506" w:rsidP="007723FD">
            <w:pPr>
              <w:rPr>
                <w:b/>
                <w:i/>
                <w:sz w:val="28"/>
                <w:szCs w:val="28"/>
              </w:rPr>
            </w:pPr>
            <w:r w:rsidRPr="00F46CBD">
              <w:rPr>
                <w:b/>
                <w:i/>
                <w:sz w:val="28"/>
                <w:szCs w:val="28"/>
              </w:rPr>
              <w:t>IRB Documentation</w:t>
            </w:r>
          </w:p>
          <w:p w14:paraId="5FB6493E" w14:textId="77777777" w:rsidR="008D5506" w:rsidRPr="00F46CBD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6F24B80C" w14:textId="77777777" w:rsidR="008D5506" w:rsidRPr="007723FD" w:rsidRDefault="008D5506" w:rsidP="007723FD">
            <w:pPr>
              <w:contextualSpacing/>
              <w:rPr>
                <w:sz w:val="24"/>
                <w:szCs w:val="24"/>
              </w:rPr>
            </w:pPr>
            <w:r w:rsidRPr="00E623E0">
              <w:rPr>
                <w:sz w:val="24"/>
                <w:szCs w:val="24"/>
              </w:rPr>
              <w:t>Complete applications and documentation for</w:t>
            </w:r>
            <w:r>
              <w:rPr>
                <w:sz w:val="24"/>
                <w:szCs w:val="24"/>
              </w:rPr>
              <w:t xml:space="preserve"> initial</w:t>
            </w:r>
            <w:r w:rsidRPr="00E623E0">
              <w:rPr>
                <w:sz w:val="24"/>
                <w:szCs w:val="24"/>
              </w:rPr>
              <w:t xml:space="preserve"> review, continuing reviews, and amendments</w:t>
            </w:r>
            <w:r>
              <w:rPr>
                <w:sz w:val="24"/>
                <w:szCs w:val="24"/>
              </w:rPr>
              <w:t>, problem event reports, final study report</w:t>
            </w:r>
          </w:p>
        </w:tc>
      </w:tr>
      <w:tr w:rsidR="008D5506" w14:paraId="35C53F8B" w14:textId="77777777" w:rsidTr="008D5506">
        <w:tc>
          <w:tcPr>
            <w:tcW w:w="3438" w:type="dxa"/>
            <w:vMerge/>
          </w:tcPr>
          <w:p w14:paraId="45F3429D" w14:textId="77777777" w:rsidR="008D5506" w:rsidRDefault="008D5506"/>
        </w:tc>
        <w:tc>
          <w:tcPr>
            <w:tcW w:w="3870" w:type="dxa"/>
            <w:vMerge w:val="restart"/>
          </w:tcPr>
          <w:p w14:paraId="204F59FA" w14:textId="77777777" w:rsidR="008D5506" w:rsidRDefault="008D5506"/>
        </w:tc>
        <w:tc>
          <w:tcPr>
            <w:tcW w:w="5868" w:type="dxa"/>
          </w:tcPr>
          <w:p w14:paraId="1F3B969A" w14:textId="77777777" w:rsidR="008D5506" w:rsidRDefault="008D5506" w:rsidP="007723F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  <w:r w:rsidR="00CB5398">
              <w:rPr>
                <w:sz w:val="24"/>
                <w:szCs w:val="24"/>
              </w:rPr>
              <w:t xml:space="preserve">official </w:t>
            </w:r>
            <w:r>
              <w:rPr>
                <w:sz w:val="24"/>
                <w:szCs w:val="24"/>
              </w:rPr>
              <w:t>correspondence with the IRB</w:t>
            </w:r>
            <w:r w:rsidR="00CB5398">
              <w:rPr>
                <w:sz w:val="24"/>
                <w:szCs w:val="24"/>
              </w:rPr>
              <w:t>, including email communications with responses to IRB inquiries and concerns.</w:t>
            </w:r>
            <w:r w:rsidR="00C5051B">
              <w:rPr>
                <w:sz w:val="24"/>
                <w:szCs w:val="24"/>
              </w:rPr>
              <w:t xml:space="preserve"> </w:t>
            </w:r>
          </w:p>
          <w:p w14:paraId="4C0D500F" w14:textId="77777777" w:rsidR="008D5506" w:rsidRDefault="008D5506"/>
        </w:tc>
      </w:tr>
      <w:tr w:rsidR="008D5506" w14:paraId="24B1F982" w14:textId="77777777" w:rsidTr="008D5506">
        <w:tc>
          <w:tcPr>
            <w:tcW w:w="3438" w:type="dxa"/>
            <w:vMerge/>
          </w:tcPr>
          <w:p w14:paraId="6B238724" w14:textId="77777777" w:rsidR="008D5506" w:rsidRDefault="008D5506"/>
        </w:tc>
        <w:tc>
          <w:tcPr>
            <w:tcW w:w="3870" w:type="dxa"/>
            <w:vMerge/>
          </w:tcPr>
          <w:p w14:paraId="4D047380" w14:textId="77777777" w:rsidR="008D5506" w:rsidRDefault="008D5506"/>
        </w:tc>
        <w:tc>
          <w:tcPr>
            <w:tcW w:w="5868" w:type="dxa"/>
          </w:tcPr>
          <w:p w14:paraId="3ECFE66B" w14:textId="77777777" w:rsidR="008D5506" w:rsidRDefault="008D5506" w:rsidP="007723F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IRB approvals, research site permissions</w:t>
            </w:r>
          </w:p>
          <w:p w14:paraId="48C76672" w14:textId="77777777" w:rsidR="008D5506" w:rsidRDefault="008D5506"/>
        </w:tc>
      </w:tr>
      <w:tr w:rsidR="008D5506" w14:paraId="0B5414DD" w14:textId="77777777" w:rsidTr="008D5506">
        <w:tc>
          <w:tcPr>
            <w:tcW w:w="3438" w:type="dxa"/>
            <w:vMerge/>
          </w:tcPr>
          <w:p w14:paraId="5ABDBEC0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  <w:vMerge/>
          </w:tcPr>
          <w:p w14:paraId="3C4BB360" w14:textId="77777777" w:rsidR="008D5506" w:rsidRDefault="008D5506"/>
        </w:tc>
        <w:tc>
          <w:tcPr>
            <w:tcW w:w="5868" w:type="dxa"/>
          </w:tcPr>
          <w:p w14:paraId="3F2D4BBB" w14:textId="77777777" w:rsidR="008D5506" w:rsidRDefault="008D5506" w:rsidP="007723F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IRB Tracking Log (</w:t>
            </w:r>
            <w:r w:rsidRPr="00E623E0">
              <w:rPr>
                <w:b/>
                <w:color w:val="000000"/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>) – Tracks submissions, IRB actions, PI responses and correspondence</w:t>
            </w:r>
          </w:p>
          <w:p w14:paraId="47BF2750" w14:textId="77777777" w:rsidR="008D5506" w:rsidRDefault="008D5506"/>
        </w:tc>
      </w:tr>
      <w:tr w:rsidR="008D5506" w14:paraId="1202A5A6" w14:textId="77777777" w:rsidTr="008D5506">
        <w:tc>
          <w:tcPr>
            <w:tcW w:w="3438" w:type="dxa"/>
            <w:vMerge/>
          </w:tcPr>
          <w:p w14:paraId="33B10BDF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2A213C96" w14:textId="77777777" w:rsidR="008D5506" w:rsidRDefault="008D5506" w:rsidP="00AE3C05">
            <w:r w:rsidRPr="00CC2404">
              <w:rPr>
                <w:b/>
                <w:i/>
                <w:sz w:val="28"/>
                <w:szCs w:val="28"/>
              </w:rPr>
              <w:t>DSMB Reports or Summaries</w:t>
            </w:r>
          </w:p>
        </w:tc>
        <w:tc>
          <w:tcPr>
            <w:tcW w:w="5868" w:type="dxa"/>
          </w:tcPr>
          <w:p w14:paraId="581E0069" w14:textId="77777777" w:rsidR="008D5506" w:rsidRPr="00CC2404" w:rsidRDefault="008D5506" w:rsidP="00CC240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Copies of all reports and summaries.</w:t>
            </w:r>
          </w:p>
        </w:tc>
      </w:tr>
      <w:tr w:rsidR="008D5506" w14:paraId="2598F98E" w14:textId="77777777" w:rsidTr="008D5506">
        <w:tc>
          <w:tcPr>
            <w:tcW w:w="3438" w:type="dxa"/>
            <w:vMerge/>
          </w:tcPr>
          <w:p w14:paraId="0A997B31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  <w:vMerge w:val="restart"/>
          </w:tcPr>
          <w:p w14:paraId="3D17CEE2" w14:textId="77777777" w:rsidR="008D5506" w:rsidRDefault="008D5506"/>
        </w:tc>
        <w:tc>
          <w:tcPr>
            <w:tcW w:w="5868" w:type="dxa"/>
          </w:tcPr>
          <w:p w14:paraId="556883E6" w14:textId="77777777" w:rsidR="008D5506" w:rsidRPr="00AE3C05" w:rsidRDefault="00AE3C05" w:rsidP="00CC2404">
            <w:pPr>
              <w:contextualSpacing/>
              <w:rPr>
                <w:sz w:val="24"/>
                <w:szCs w:val="24"/>
              </w:rPr>
            </w:pPr>
            <w:r w:rsidRPr="00AE3C05">
              <w:rPr>
                <w:sz w:val="24"/>
                <w:szCs w:val="24"/>
                <w:highlight w:val="yellow"/>
              </w:rPr>
              <w:t>Description of DSMB Charter, if not in protocol or research plan</w:t>
            </w:r>
          </w:p>
        </w:tc>
      </w:tr>
      <w:tr w:rsidR="008D5506" w14:paraId="7CB11365" w14:textId="77777777" w:rsidTr="008D5506">
        <w:tc>
          <w:tcPr>
            <w:tcW w:w="3438" w:type="dxa"/>
            <w:vMerge/>
          </w:tcPr>
          <w:p w14:paraId="78AA7EBF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  <w:vMerge/>
          </w:tcPr>
          <w:p w14:paraId="3FCD4E23" w14:textId="77777777" w:rsidR="008D5506" w:rsidRDefault="008D5506"/>
        </w:tc>
        <w:tc>
          <w:tcPr>
            <w:tcW w:w="5868" w:type="dxa"/>
          </w:tcPr>
          <w:p w14:paraId="423B6C28" w14:textId="77777777" w:rsidR="008D5506" w:rsidRDefault="008D5506" w:rsidP="00CC2404">
            <w:pPr>
              <w:contextualSpacing/>
            </w:pPr>
            <w:r>
              <w:rPr>
                <w:sz w:val="24"/>
                <w:szCs w:val="24"/>
              </w:rPr>
              <w:t>List of Data Safety Monitoring Board Members and affiliations</w:t>
            </w:r>
          </w:p>
        </w:tc>
      </w:tr>
      <w:tr w:rsidR="008D5506" w14:paraId="25EE7F60" w14:textId="77777777" w:rsidTr="008D5506">
        <w:tc>
          <w:tcPr>
            <w:tcW w:w="3438" w:type="dxa"/>
            <w:vMerge/>
          </w:tcPr>
          <w:p w14:paraId="3041F3DE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6D354DF5" w14:textId="77777777" w:rsidR="008D5506" w:rsidRPr="00E77937" w:rsidRDefault="008D5506" w:rsidP="00E77937">
            <w:pPr>
              <w:rPr>
                <w:b/>
                <w:i/>
                <w:sz w:val="28"/>
                <w:szCs w:val="28"/>
              </w:rPr>
            </w:pPr>
            <w:r w:rsidRPr="00E77937">
              <w:rPr>
                <w:b/>
                <w:i/>
                <w:sz w:val="28"/>
                <w:szCs w:val="28"/>
              </w:rPr>
              <w:t>Case Report Forms</w:t>
            </w:r>
          </w:p>
          <w:p w14:paraId="30FCA6B1" w14:textId="77777777" w:rsidR="008D5506" w:rsidRDefault="008D5506"/>
        </w:tc>
        <w:tc>
          <w:tcPr>
            <w:tcW w:w="5868" w:type="dxa"/>
          </w:tcPr>
          <w:p w14:paraId="6793A359" w14:textId="77777777" w:rsidR="008D5506" w:rsidRPr="00E77937" w:rsidRDefault="008D5506" w:rsidP="00E77937">
            <w:pPr>
              <w:contextualSpacing/>
              <w:rPr>
                <w:sz w:val="32"/>
                <w:szCs w:val="32"/>
              </w:rPr>
            </w:pPr>
            <w:r w:rsidRPr="0094552B">
              <w:rPr>
                <w:sz w:val="24"/>
                <w:szCs w:val="24"/>
              </w:rPr>
              <w:t>Current and complete set of blank case report forms (CRFs)</w:t>
            </w:r>
          </w:p>
        </w:tc>
      </w:tr>
      <w:tr w:rsidR="008D5506" w14:paraId="7BE8F9CD" w14:textId="77777777" w:rsidTr="008D5506">
        <w:tc>
          <w:tcPr>
            <w:tcW w:w="3438" w:type="dxa"/>
            <w:vMerge/>
          </w:tcPr>
          <w:p w14:paraId="49994AE2" w14:textId="77777777" w:rsidR="008D5506" w:rsidRDefault="008D5506"/>
        </w:tc>
        <w:tc>
          <w:tcPr>
            <w:tcW w:w="3870" w:type="dxa"/>
            <w:vMerge w:val="restart"/>
          </w:tcPr>
          <w:p w14:paraId="18DAA51C" w14:textId="77777777" w:rsidR="008D5506" w:rsidRDefault="008D5506"/>
        </w:tc>
        <w:tc>
          <w:tcPr>
            <w:tcW w:w="5868" w:type="dxa"/>
          </w:tcPr>
          <w:p w14:paraId="16FCD0F5" w14:textId="77777777" w:rsidR="008D5506" w:rsidRDefault="008D5506" w:rsidP="00E77937">
            <w:pPr>
              <w:contextualSpacing/>
            </w:pPr>
            <w:r w:rsidRPr="0094552B">
              <w:rPr>
                <w:sz w:val="24"/>
                <w:szCs w:val="24"/>
              </w:rPr>
              <w:t>Out of date case report forms (CRFs)</w:t>
            </w:r>
          </w:p>
        </w:tc>
      </w:tr>
      <w:tr w:rsidR="008D5506" w14:paraId="1E4C22EC" w14:textId="77777777" w:rsidTr="008D5506">
        <w:tc>
          <w:tcPr>
            <w:tcW w:w="3438" w:type="dxa"/>
            <w:vMerge/>
          </w:tcPr>
          <w:p w14:paraId="33C43385" w14:textId="77777777" w:rsidR="008D5506" w:rsidRDefault="008D5506"/>
        </w:tc>
        <w:tc>
          <w:tcPr>
            <w:tcW w:w="3870" w:type="dxa"/>
            <w:vMerge/>
          </w:tcPr>
          <w:p w14:paraId="08F94D83" w14:textId="77777777" w:rsidR="008D5506" w:rsidRDefault="008D5506"/>
        </w:tc>
        <w:tc>
          <w:tcPr>
            <w:tcW w:w="5868" w:type="dxa"/>
          </w:tcPr>
          <w:p w14:paraId="5F1F460C" w14:textId="77777777" w:rsidR="008D5506" w:rsidRPr="0094552B" w:rsidRDefault="008D5506" w:rsidP="00E77937">
            <w:pPr>
              <w:contextualSpacing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Source document list</w:t>
            </w:r>
          </w:p>
          <w:p w14:paraId="4DCF21AF" w14:textId="77777777" w:rsidR="008D5506" w:rsidRDefault="008D5506"/>
        </w:tc>
      </w:tr>
      <w:tr w:rsidR="008D5506" w14:paraId="1CF492A4" w14:textId="77777777" w:rsidTr="008D5506">
        <w:tc>
          <w:tcPr>
            <w:tcW w:w="3438" w:type="dxa"/>
          </w:tcPr>
          <w:p w14:paraId="69E4843C" w14:textId="77777777" w:rsidR="008D5506" w:rsidRPr="00370395" w:rsidRDefault="008D5506" w:rsidP="00342346">
            <w:pPr>
              <w:rPr>
                <w:b/>
                <w:i/>
                <w:sz w:val="28"/>
                <w:szCs w:val="28"/>
                <w:u w:val="single"/>
              </w:rPr>
            </w:pPr>
            <w:r w:rsidRPr="00370395">
              <w:rPr>
                <w:b/>
                <w:i/>
                <w:sz w:val="28"/>
                <w:szCs w:val="28"/>
                <w:u w:val="single"/>
              </w:rPr>
              <w:t>Protocol Operations</w:t>
            </w:r>
          </w:p>
          <w:p w14:paraId="7EB1DD17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087BBFC2" w14:textId="77777777" w:rsidR="008D5506" w:rsidRPr="00342346" w:rsidRDefault="008D5506" w:rsidP="00342346">
            <w:pPr>
              <w:contextualSpacing/>
              <w:rPr>
                <w:b/>
                <w:i/>
                <w:sz w:val="28"/>
                <w:szCs w:val="28"/>
              </w:rPr>
            </w:pPr>
            <w:r w:rsidRPr="00342346">
              <w:rPr>
                <w:b/>
                <w:i/>
                <w:sz w:val="28"/>
                <w:szCs w:val="28"/>
              </w:rPr>
              <w:t>Subject Screening and Enrollment</w:t>
            </w:r>
          </w:p>
          <w:p w14:paraId="0E782775" w14:textId="77777777" w:rsidR="008D5506" w:rsidRDefault="008D5506"/>
        </w:tc>
        <w:tc>
          <w:tcPr>
            <w:tcW w:w="5868" w:type="dxa"/>
          </w:tcPr>
          <w:p w14:paraId="328E6CE6" w14:textId="77777777" w:rsidR="008D5506" w:rsidRDefault="00CB5398" w:rsidP="00CB5398">
            <w:pPr>
              <w:contextualSpacing/>
            </w:pPr>
            <w:r>
              <w:rPr>
                <w:sz w:val="24"/>
                <w:szCs w:val="24"/>
              </w:rPr>
              <w:t>Completed s</w:t>
            </w:r>
            <w:r w:rsidR="008D5506" w:rsidRPr="008C3203">
              <w:rPr>
                <w:sz w:val="24"/>
                <w:szCs w:val="24"/>
              </w:rPr>
              <w:t>creening log</w:t>
            </w:r>
            <w:r>
              <w:rPr>
                <w:sz w:val="24"/>
                <w:szCs w:val="24"/>
              </w:rPr>
              <w:t xml:space="preserve">s </w:t>
            </w:r>
            <w:r w:rsidR="008D5506" w:rsidRPr="008C3203">
              <w:rPr>
                <w:sz w:val="24"/>
                <w:szCs w:val="24"/>
              </w:rPr>
              <w:t xml:space="preserve"> </w:t>
            </w:r>
          </w:p>
        </w:tc>
      </w:tr>
      <w:tr w:rsidR="008D5506" w14:paraId="4FFD24DB" w14:textId="77777777" w:rsidTr="008D5506">
        <w:tc>
          <w:tcPr>
            <w:tcW w:w="3438" w:type="dxa"/>
            <w:vMerge w:val="restart"/>
          </w:tcPr>
          <w:p w14:paraId="6DAA644F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3CD71686" w14:textId="77777777" w:rsidR="008D5506" w:rsidRDefault="008D5506"/>
        </w:tc>
        <w:tc>
          <w:tcPr>
            <w:tcW w:w="5868" w:type="dxa"/>
          </w:tcPr>
          <w:p w14:paraId="2287D4D8" w14:textId="77777777" w:rsidR="008D5506" w:rsidRDefault="008D5506">
            <w:r w:rsidRPr="008C3203">
              <w:rPr>
                <w:sz w:val="24"/>
                <w:szCs w:val="24"/>
              </w:rPr>
              <w:t>Subject enrollment log</w:t>
            </w:r>
          </w:p>
        </w:tc>
      </w:tr>
      <w:tr w:rsidR="008D5506" w14:paraId="6AC1006C" w14:textId="77777777" w:rsidTr="008D5506">
        <w:tc>
          <w:tcPr>
            <w:tcW w:w="3438" w:type="dxa"/>
            <w:vMerge/>
          </w:tcPr>
          <w:p w14:paraId="3D7BBCDA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4F08C21F" w14:textId="77777777" w:rsidR="008D5506" w:rsidRPr="00A323D9" w:rsidRDefault="008D5506" w:rsidP="00A323D9">
            <w:pPr>
              <w:contextualSpacing/>
              <w:rPr>
                <w:b/>
                <w:i/>
                <w:sz w:val="28"/>
                <w:szCs w:val="28"/>
              </w:rPr>
            </w:pPr>
            <w:r w:rsidRPr="00A323D9">
              <w:rPr>
                <w:b/>
                <w:i/>
                <w:sz w:val="28"/>
                <w:szCs w:val="28"/>
              </w:rPr>
              <w:t>Standard Operating Procedures</w:t>
            </w:r>
          </w:p>
          <w:p w14:paraId="1E0C11AE" w14:textId="77777777" w:rsidR="008D5506" w:rsidRDefault="008D5506"/>
        </w:tc>
        <w:tc>
          <w:tcPr>
            <w:tcW w:w="5868" w:type="dxa"/>
          </w:tcPr>
          <w:p w14:paraId="500F01B3" w14:textId="77777777" w:rsidR="008D5506" w:rsidRPr="00A323D9" w:rsidRDefault="008D5506" w:rsidP="00A323D9">
            <w:pPr>
              <w:contextualSpacing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Current</w:t>
            </w:r>
            <w:r w:rsidRPr="00CC1583">
              <w:rPr>
                <w:sz w:val="24"/>
                <w:szCs w:val="24"/>
              </w:rPr>
              <w:t xml:space="preserve"> version of the SOPs.</w:t>
            </w:r>
          </w:p>
        </w:tc>
      </w:tr>
      <w:tr w:rsidR="008D5506" w14:paraId="65E03151" w14:textId="77777777" w:rsidTr="008D5506">
        <w:tc>
          <w:tcPr>
            <w:tcW w:w="3438" w:type="dxa"/>
            <w:vMerge/>
          </w:tcPr>
          <w:p w14:paraId="093A2B9E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17A813F5" w14:textId="77777777" w:rsidR="008D5506" w:rsidRDefault="008D5506"/>
        </w:tc>
        <w:tc>
          <w:tcPr>
            <w:tcW w:w="5868" w:type="dxa"/>
          </w:tcPr>
          <w:p w14:paraId="26126364" w14:textId="77777777" w:rsidR="008D5506" w:rsidRPr="00EB5C0A" w:rsidRDefault="008D5506" w:rsidP="00A323D9">
            <w:pPr>
              <w:contextualSpacing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All </w:t>
            </w:r>
            <w:proofErr w:type="spellStart"/>
            <w:r>
              <w:rPr>
                <w:sz w:val="24"/>
                <w:szCs w:val="24"/>
              </w:rPr>
              <w:t>superceded</w:t>
            </w:r>
            <w:proofErr w:type="spellEnd"/>
            <w:r>
              <w:rPr>
                <w:sz w:val="24"/>
                <w:szCs w:val="24"/>
              </w:rPr>
              <w:t xml:space="preserve"> versions of the SOPs.</w:t>
            </w:r>
          </w:p>
          <w:p w14:paraId="2A7BAE73" w14:textId="77777777" w:rsidR="008D5506" w:rsidRDefault="008D5506"/>
        </w:tc>
      </w:tr>
      <w:tr w:rsidR="008D5506" w14:paraId="24B8421F" w14:textId="77777777" w:rsidTr="008D5506">
        <w:tc>
          <w:tcPr>
            <w:tcW w:w="3438" w:type="dxa"/>
            <w:vMerge/>
          </w:tcPr>
          <w:p w14:paraId="64D0CB76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391A624E" w14:textId="77777777" w:rsidR="008D5506" w:rsidRPr="00A323D9" w:rsidRDefault="008D5506" w:rsidP="00A323D9">
            <w:pPr>
              <w:rPr>
                <w:b/>
                <w:i/>
                <w:sz w:val="28"/>
                <w:szCs w:val="28"/>
              </w:rPr>
            </w:pPr>
            <w:r w:rsidRPr="00A323D9">
              <w:rPr>
                <w:b/>
                <w:i/>
                <w:sz w:val="28"/>
                <w:szCs w:val="28"/>
              </w:rPr>
              <w:t>Notes-To-File</w:t>
            </w:r>
          </w:p>
          <w:p w14:paraId="443A2E84" w14:textId="77777777" w:rsidR="008D5506" w:rsidRDefault="008D5506"/>
        </w:tc>
        <w:tc>
          <w:tcPr>
            <w:tcW w:w="5868" w:type="dxa"/>
          </w:tcPr>
          <w:p w14:paraId="0717522D" w14:textId="77777777" w:rsidR="008D5506" w:rsidRPr="00A323D9" w:rsidRDefault="008D5506" w:rsidP="00A323D9">
            <w:pPr>
              <w:contextualSpacing/>
              <w:rPr>
                <w:sz w:val="24"/>
                <w:szCs w:val="24"/>
              </w:rPr>
            </w:pPr>
            <w:r w:rsidRPr="005A77D3">
              <w:rPr>
                <w:sz w:val="24"/>
                <w:szCs w:val="24"/>
              </w:rPr>
              <w:t>A note or memo that documents and explains any discrepancies, clarifies any questionable data, or study procedures</w:t>
            </w:r>
            <w:r>
              <w:rPr>
                <w:sz w:val="24"/>
                <w:szCs w:val="24"/>
              </w:rPr>
              <w:t>.</w:t>
            </w:r>
          </w:p>
        </w:tc>
      </w:tr>
      <w:tr w:rsidR="008D5506" w14:paraId="25D23F7D" w14:textId="77777777" w:rsidTr="008D5506">
        <w:tc>
          <w:tcPr>
            <w:tcW w:w="3438" w:type="dxa"/>
            <w:vMerge/>
          </w:tcPr>
          <w:p w14:paraId="4BCD5476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1F2E0B5C" w14:textId="77777777" w:rsidR="008D5506" w:rsidRDefault="008D5506"/>
        </w:tc>
        <w:tc>
          <w:tcPr>
            <w:tcW w:w="5868" w:type="dxa"/>
          </w:tcPr>
          <w:p w14:paraId="44768FC1" w14:textId="77777777" w:rsidR="008D5506" w:rsidRPr="0045381E" w:rsidRDefault="008D5506" w:rsidP="00A323D9">
            <w:pPr>
              <w:rPr>
                <w:sz w:val="24"/>
                <w:szCs w:val="24"/>
              </w:rPr>
            </w:pPr>
            <w:r w:rsidRPr="0045381E">
              <w:rPr>
                <w:sz w:val="24"/>
                <w:szCs w:val="24"/>
              </w:rPr>
              <w:t>A note or memo that documents where certain documents are stored in places other than the regulatory binder (</w:t>
            </w:r>
            <w:proofErr w:type="gramStart"/>
            <w:r w:rsidRPr="0045381E">
              <w:rPr>
                <w:sz w:val="24"/>
                <w:szCs w:val="24"/>
              </w:rPr>
              <w:t>i.e.</w:t>
            </w:r>
            <w:proofErr w:type="gramEnd"/>
            <w:r w:rsidRPr="0045381E">
              <w:rPr>
                <w:sz w:val="24"/>
                <w:szCs w:val="24"/>
              </w:rPr>
              <w:t xml:space="preserve"> a note to file indicating that signed case report forms are kept in study subjects files, etc.).</w:t>
            </w:r>
          </w:p>
          <w:p w14:paraId="1375B5F5" w14:textId="77777777" w:rsidR="008D5506" w:rsidRDefault="008D5506"/>
        </w:tc>
      </w:tr>
      <w:tr w:rsidR="008D5506" w14:paraId="041E51E6" w14:textId="77777777" w:rsidTr="008D5506">
        <w:tc>
          <w:tcPr>
            <w:tcW w:w="3438" w:type="dxa"/>
            <w:vMerge/>
          </w:tcPr>
          <w:p w14:paraId="0DDA5CD4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0D27F042" w14:textId="77777777" w:rsidR="008D5506" w:rsidRPr="00370395" w:rsidRDefault="008D5506" w:rsidP="00370395">
            <w:pPr>
              <w:rPr>
                <w:b/>
                <w:i/>
                <w:sz w:val="28"/>
                <w:szCs w:val="28"/>
              </w:rPr>
            </w:pPr>
            <w:r w:rsidRPr="00370395">
              <w:rPr>
                <w:b/>
                <w:sz w:val="28"/>
                <w:szCs w:val="28"/>
              </w:rPr>
              <w:t>S</w:t>
            </w:r>
            <w:r w:rsidRPr="00370395">
              <w:rPr>
                <w:b/>
                <w:i/>
                <w:sz w:val="28"/>
                <w:szCs w:val="28"/>
              </w:rPr>
              <w:t>tudy/Subject Documents</w:t>
            </w:r>
          </w:p>
          <w:p w14:paraId="5038D324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2F08EAA4" w14:textId="77777777" w:rsidR="008D5506" w:rsidRPr="00A323D9" w:rsidRDefault="008D5506" w:rsidP="00A323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Blank copy of surveys and questionnaires</w:t>
            </w:r>
          </w:p>
        </w:tc>
      </w:tr>
      <w:tr w:rsidR="008D5506" w14:paraId="7FB2B5FF" w14:textId="77777777" w:rsidTr="008D5506">
        <w:tc>
          <w:tcPr>
            <w:tcW w:w="3438" w:type="dxa"/>
            <w:vMerge/>
          </w:tcPr>
          <w:p w14:paraId="1A38A080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  <w:vMerge w:val="restart"/>
          </w:tcPr>
          <w:p w14:paraId="09720DF8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778E90CC" w14:textId="77777777" w:rsidR="008D5506" w:rsidRDefault="008D5506" w:rsidP="00A323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Inclusion/Exclusion checklist</w:t>
            </w:r>
          </w:p>
          <w:p w14:paraId="3355DAAC" w14:textId="77777777" w:rsidR="008D5506" w:rsidRDefault="008D5506"/>
        </w:tc>
      </w:tr>
      <w:tr w:rsidR="008D5506" w14:paraId="08C8D537" w14:textId="77777777" w:rsidTr="008D5506">
        <w:tc>
          <w:tcPr>
            <w:tcW w:w="3438" w:type="dxa"/>
            <w:vMerge/>
          </w:tcPr>
          <w:p w14:paraId="05FCFCB7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  <w:vMerge/>
          </w:tcPr>
          <w:p w14:paraId="55779C5F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68B6C293" w14:textId="77777777" w:rsidR="008D5506" w:rsidRPr="0045381E" w:rsidRDefault="008D5506" w:rsidP="00A323D9">
            <w:pPr>
              <w:contextualSpacing/>
              <w:rPr>
                <w:sz w:val="32"/>
                <w:szCs w:val="32"/>
              </w:rPr>
            </w:pPr>
            <w:r w:rsidRPr="00C2506C">
              <w:rPr>
                <w:sz w:val="24"/>
                <w:szCs w:val="24"/>
              </w:rPr>
              <w:t>Study visit checklist</w:t>
            </w:r>
          </w:p>
          <w:p w14:paraId="465367FB" w14:textId="77777777" w:rsidR="008D5506" w:rsidRDefault="008D5506"/>
        </w:tc>
      </w:tr>
      <w:tr w:rsidR="008D5506" w14:paraId="4F16EB8F" w14:textId="77777777" w:rsidTr="008D5506">
        <w:tc>
          <w:tcPr>
            <w:tcW w:w="3438" w:type="dxa"/>
            <w:vMerge/>
          </w:tcPr>
          <w:p w14:paraId="1BA847F8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21DDB649" w14:textId="77777777" w:rsidR="008D5506" w:rsidRPr="00370395" w:rsidRDefault="008D5506" w:rsidP="00370395">
            <w:pPr>
              <w:rPr>
                <w:b/>
                <w:i/>
                <w:sz w:val="28"/>
                <w:szCs w:val="28"/>
              </w:rPr>
            </w:pPr>
            <w:r w:rsidRPr="00370395">
              <w:rPr>
                <w:b/>
                <w:i/>
                <w:sz w:val="28"/>
                <w:szCs w:val="28"/>
              </w:rPr>
              <w:t>Study Staff Information</w:t>
            </w:r>
          </w:p>
          <w:p w14:paraId="51A6C30B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05956380" w14:textId="77777777" w:rsidR="008D5506" w:rsidRPr="00A323D9" w:rsidRDefault="008D5506" w:rsidP="00A323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Roles &amp; Responsibilities Log</w:t>
            </w:r>
          </w:p>
        </w:tc>
      </w:tr>
      <w:tr w:rsidR="008D5506" w14:paraId="73D73D52" w14:textId="77777777" w:rsidTr="008D5506">
        <w:tc>
          <w:tcPr>
            <w:tcW w:w="3438" w:type="dxa"/>
            <w:vMerge/>
          </w:tcPr>
          <w:p w14:paraId="3D57A06B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  <w:vMerge w:val="restart"/>
          </w:tcPr>
          <w:p w14:paraId="65B2100C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7B1E7AC4" w14:textId="77777777" w:rsidR="008D5506" w:rsidRDefault="008D5506" w:rsidP="00A323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Signature Log</w:t>
            </w:r>
            <w:r w:rsidR="00C5051B">
              <w:rPr>
                <w:sz w:val="24"/>
                <w:szCs w:val="24"/>
              </w:rPr>
              <w:t xml:space="preserve"> (can be included with the roles and responsibilities log)</w:t>
            </w:r>
          </w:p>
          <w:p w14:paraId="5B58AC4F" w14:textId="77777777" w:rsidR="008D5506" w:rsidRDefault="008D5506"/>
        </w:tc>
      </w:tr>
      <w:tr w:rsidR="008D5506" w14:paraId="5024B436" w14:textId="77777777" w:rsidTr="008D5506">
        <w:tc>
          <w:tcPr>
            <w:tcW w:w="3438" w:type="dxa"/>
            <w:vMerge/>
          </w:tcPr>
          <w:p w14:paraId="23585ED6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  <w:vMerge/>
          </w:tcPr>
          <w:p w14:paraId="103B0EE3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44B6D775" w14:textId="77777777" w:rsidR="008D5506" w:rsidRDefault="008D5506" w:rsidP="00A323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CVs</w:t>
            </w:r>
            <w:r w:rsidR="00C5051B">
              <w:rPr>
                <w:sz w:val="24"/>
                <w:szCs w:val="24"/>
              </w:rPr>
              <w:t>, licenses (if applicable)</w:t>
            </w:r>
          </w:p>
          <w:p w14:paraId="357477CD" w14:textId="77777777" w:rsidR="008D5506" w:rsidRDefault="008D5506"/>
        </w:tc>
      </w:tr>
      <w:tr w:rsidR="008D5506" w14:paraId="34C33A69" w14:textId="77777777" w:rsidTr="008D5506">
        <w:tc>
          <w:tcPr>
            <w:tcW w:w="3438" w:type="dxa"/>
            <w:vMerge/>
          </w:tcPr>
          <w:p w14:paraId="2B22530F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  <w:vMerge/>
          </w:tcPr>
          <w:p w14:paraId="5ED93F50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4F5ECA3C" w14:textId="77777777" w:rsidR="008D5506" w:rsidRDefault="008D5506" w:rsidP="00A323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Certifications (Human Subjects Research, GCP, HIPAA, etc.)</w:t>
            </w:r>
          </w:p>
          <w:p w14:paraId="02814867" w14:textId="77777777" w:rsidR="008D5506" w:rsidRDefault="008D5506"/>
        </w:tc>
      </w:tr>
      <w:tr w:rsidR="008D5506" w14:paraId="6A7125D7" w14:textId="77777777" w:rsidTr="008D5506">
        <w:tc>
          <w:tcPr>
            <w:tcW w:w="3438" w:type="dxa"/>
          </w:tcPr>
          <w:p w14:paraId="40A4A151" w14:textId="77777777" w:rsidR="008D5506" w:rsidRPr="00370395" w:rsidRDefault="008D5506" w:rsidP="00A323D9">
            <w:pPr>
              <w:rPr>
                <w:b/>
                <w:i/>
                <w:sz w:val="28"/>
                <w:szCs w:val="28"/>
                <w:u w:val="single"/>
              </w:rPr>
            </w:pPr>
            <w:r w:rsidRPr="00370395">
              <w:rPr>
                <w:b/>
                <w:i/>
                <w:sz w:val="28"/>
                <w:szCs w:val="28"/>
                <w:u w:val="single"/>
              </w:rPr>
              <w:t>Sponsor (</w:t>
            </w:r>
            <w:proofErr w:type="gramStart"/>
            <w:r w:rsidRPr="00370395">
              <w:rPr>
                <w:b/>
                <w:i/>
                <w:sz w:val="28"/>
                <w:szCs w:val="28"/>
                <w:u w:val="single"/>
              </w:rPr>
              <w:t>e.g.</w:t>
            </w:r>
            <w:proofErr w:type="gramEnd"/>
            <w:r w:rsidRPr="00370395">
              <w:rPr>
                <w:b/>
                <w:i/>
                <w:sz w:val="28"/>
                <w:szCs w:val="28"/>
                <w:u w:val="single"/>
              </w:rPr>
              <w:t xml:space="preserve"> NIH, USAID, BMGF, etc.)</w:t>
            </w:r>
          </w:p>
          <w:p w14:paraId="06CD82BC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151D25C4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1A3E7DE9" w14:textId="77777777" w:rsidR="008D5506" w:rsidRPr="00A323D9" w:rsidRDefault="008D5506" w:rsidP="00A323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the approved sponsor grant application or contract.</w:t>
            </w:r>
          </w:p>
        </w:tc>
      </w:tr>
      <w:tr w:rsidR="003D23E3" w14:paraId="13137859" w14:textId="77777777" w:rsidTr="003D23E3">
        <w:tc>
          <w:tcPr>
            <w:tcW w:w="3438" w:type="dxa"/>
            <w:vMerge w:val="restart"/>
          </w:tcPr>
          <w:p w14:paraId="11C58CEA" w14:textId="77777777" w:rsidR="003D23E3" w:rsidRPr="00370395" w:rsidRDefault="003D23E3">
            <w:pPr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vMerge w:val="restart"/>
          </w:tcPr>
          <w:p w14:paraId="62BB9E62" w14:textId="77777777" w:rsidR="003D23E3" w:rsidRPr="00370395" w:rsidRDefault="003D23E3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52B80A57" w14:textId="77777777" w:rsidR="003D23E3" w:rsidRDefault="003D23E3" w:rsidP="00A323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Progress Reports submitted to sponsor.</w:t>
            </w:r>
          </w:p>
          <w:p w14:paraId="7971854B" w14:textId="77777777" w:rsidR="003D23E3" w:rsidRDefault="003D23E3"/>
        </w:tc>
      </w:tr>
      <w:tr w:rsidR="003D23E3" w14:paraId="56F30400" w14:textId="77777777" w:rsidTr="003D23E3">
        <w:tc>
          <w:tcPr>
            <w:tcW w:w="3438" w:type="dxa"/>
            <w:vMerge/>
          </w:tcPr>
          <w:p w14:paraId="6CFCA999" w14:textId="77777777" w:rsidR="003D23E3" w:rsidRPr="00370395" w:rsidRDefault="003D23E3">
            <w:pPr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vMerge/>
          </w:tcPr>
          <w:p w14:paraId="3403466C" w14:textId="77777777" w:rsidR="003D23E3" w:rsidRPr="00370395" w:rsidRDefault="003D23E3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7CB1702D" w14:textId="77777777" w:rsidR="003D23E3" w:rsidRDefault="003D23E3" w:rsidP="00A323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forms submitted to sponsor pertaining to human </w:t>
            </w:r>
            <w:proofErr w:type="gramStart"/>
            <w:r>
              <w:rPr>
                <w:sz w:val="24"/>
                <w:szCs w:val="24"/>
              </w:rPr>
              <w:t>subjects</w:t>
            </w:r>
            <w:proofErr w:type="gramEnd"/>
            <w:r>
              <w:rPr>
                <w:sz w:val="24"/>
                <w:szCs w:val="24"/>
              </w:rPr>
              <w:t xml:space="preserve"> research.</w:t>
            </w:r>
          </w:p>
          <w:p w14:paraId="3E297179" w14:textId="77777777" w:rsidR="003D23E3" w:rsidRDefault="003D23E3"/>
        </w:tc>
      </w:tr>
      <w:tr w:rsidR="003D23E3" w14:paraId="03E846DC" w14:textId="77777777" w:rsidTr="003D23E3">
        <w:tc>
          <w:tcPr>
            <w:tcW w:w="3438" w:type="dxa"/>
            <w:vMerge/>
          </w:tcPr>
          <w:p w14:paraId="43ED540F" w14:textId="77777777" w:rsidR="003D23E3" w:rsidRPr="00370395" w:rsidRDefault="003D23E3">
            <w:pPr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vMerge/>
          </w:tcPr>
          <w:p w14:paraId="02BE980C" w14:textId="77777777" w:rsidR="003D23E3" w:rsidRPr="00370395" w:rsidRDefault="003D23E3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64DBBA9B" w14:textId="77777777" w:rsidR="003D23E3" w:rsidRDefault="003D23E3" w:rsidP="00A323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correspondence with sponsor (the retained communications includes all required reports, e-mails, faxes, memoranda, and letters.  In addition, we encourage logging phone conversations to record when conversations take place, and generating minutes to document the substance of these communications.)</w:t>
            </w:r>
            <w:r w:rsidR="00C5051B">
              <w:rPr>
                <w:sz w:val="24"/>
                <w:szCs w:val="24"/>
              </w:rPr>
              <w:t xml:space="preserve"> </w:t>
            </w:r>
            <w:r w:rsidR="00CB5398">
              <w:rPr>
                <w:sz w:val="24"/>
                <w:szCs w:val="24"/>
              </w:rPr>
              <w:t>Include</w:t>
            </w:r>
            <w:r w:rsidR="00C5051B">
              <w:rPr>
                <w:sz w:val="24"/>
                <w:szCs w:val="24"/>
              </w:rPr>
              <w:t xml:space="preserve"> email verification when enrollment begins.</w:t>
            </w:r>
          </w:p>
          <w:p w14:paraId="5C92B9A1" w14:textId="77777777" w:rsidR="003D23E3" w:rsidRDefault="003D23E3"/>
        </w:tc>
      </w:tr>
      <w:tr w:rsidR="008D5506" w14:paraId="083C9004" w14:textId="77777777" w:rsidTr="008D5506">
        <w:tc>
          <w:tcPr>
            <w:tcW w:w="3438" w:type="dxa"/>
          </w:tcPr>
          <w:p w14:paraId="00F31295" w14:textId="77777777" w:rsidR="008D5506" w:rsidRPr="00370395" w:rsidRDefault="008D5506" w:rsidP="00C07303">
            <w:pPr>
              <w:rPr>
                <w:b/>
                <w:i/>
                <w:sz w:val="28"/>
                <w:szCs w:val="28"/>
                <w:u w:val="single"/>
              </w:rPr>
            </w:pPr>
            <w:r w:rsidRPr="00370395">
              <w:rPr>
                <w:b/>
                <w:i/>
                <w:sz w:val="28"/>
                <w:szCs w:val="28"/>
                <w:u w:val="single"/>
              </w:rPr>
              <w:t>Regulatory Oversight (FDA, CLIA, etc.)</w:t>
            </w:r>
          </w:p>
          <w:p w14:paraId="081C9B80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4C8627E9" w14:textId="77777777" w:rsidR="008D5506" w:rsidRPr="00370395" w:rsidRDefault="008D5506" w:rsidP="00C07303">
            <w:pPr>
              <w:rPr>
                <w:b/>
                <w:i/>
                <w:sz w:val="28"/>
                <w:szCs w:val="28"/>
              </w:rPr>
            </w:pPr>
            <w:r w:rsidRPr="00370395">
              <w:rPr>
                <w:b/>
                <w:i/>
                <w:sz w:val="28"/>
                <w:szCs w:val="28"/>
              </w:rPr>
              <w:t>FDA Form 1572 &amp; 1571</w:t>
            </w:r>
          </w:p>
          <w:p w14:paraId="51B5F3A4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4C50C294" w14:textId="77777777" w:rsidR="008D5506" w:rsidRDefault="008D5506" w:rsidP="00C073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Copies of all versions of FDA Form 1572 (Statement of Investigator) for all involved investigators (documents must be updated with the study sponsor each time there is a change to the information originally provided.  Copies of all versions should be maintained.</w:t>
            </w:r>
          </w:p>
          <w:p w14:paraId="5145861A" w14:textId="77777777" w:rsidR="008D5506" w:rsidRDefault="008D5506" w:rsidP="00C073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Copy of the Investigational New Drug Application (FDA Form 1571), if the PI is also the sponsor; and, all versions of the FDA Form 1571 submitted with amendments to the FDA.</w:t>
            </w:r>
          </w:p>
          <w:p w14:paraId="73366138" w14:textId="77777777" w:rsidR="008D5506" w:rsidRDefault="008D5506"/>
        </w:tc>
      </w:tr>
      <w:tr w:rsidR="008D5506" w14:paraId="36700307" w14:textId="77777777" w:rsidTr="008D5506">
        <w:tc>
          <w:tcPr>
            <w:tcW w:w="3438" w:type="dxa"/>
            <w:vMerge w:val="restart"/>
          </w:tcPr>
          <w:p w14:paraId="166DA7DF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07CDD541" w14:textId="77777777" w:rsidR="008D5506" w:rsidRPr="00370395" w:rsidRDefault="008D5506" w:rsidP="00370395">
            <w:pPr>
              <w:contextualSpacing/>
              <w:rPr>
                <w:b/>
                <w:i/>
                <w:sz w:val="28"/>
                <w:szCs w:val="28"/>
              </w:rPr>
            </w:pPr>
            <w:r w:rsidRPr="00370395">
              <w:rPr>
                <w:b/>
                <w:i/>
                <w:sz w:val="28"/>
                <w:szCs w:val="28"/>
              </w:rPr>
              <w:t>IND/IDE Annual Reports to the FDA for Investigator-Sponsored Studies</w:t>
            </w:r>
          </w:p>
          <w:p w14:paraId="7E7ADDC6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4A9AF9DA" w14:textId="77777777" w:rsidR="008D5506" w:rsidRPr="00C07303" w:rsidRDefault="008D5506" w:rsidP="00CB5398">
            <w:pPr>
              <w:rPr>
                <w:sz w:val="24"/>
                <w:szCs w:val="24"/>
              </w:rPr>
            </w:pPr>
            <w:r w:rsidRPr="00C07303">
              <w:rPr>
                <w:sz w:val="24"/>
                <w:szCs w:val="24"/>
              </w:rPr>
              <w:t>All annual reports filed with the FDA.</w:t>
            </w:r>
            <w:r w:rsidR="00C5051B">
              <w:rPr>
                <w:sz w:val="24"/>
                <w:szCs w:val="24"/>
              </w:rPr>
              <w:t xml:space="preserve"> </w:t>
            </w:r>
          </w:p>
        </w:tc>
      </w:tr>
      <w:tr w:rsidR="008D5506" w14:paraId="7AC791D5" w14:textId="77777777" w:rsidTr="008D5506">
        <w:tc>
          <w:tcPr>
            <w:tcW w:w="3438" w:type="dxa"/>
            <w:vMerge/>
          </w:tcPr>
          <w:p w14:paraId="0230ED6D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2A1125D2" w14:textId="77777777" w:rsidR="008D5506" w:rsidRPr="00370395" w:rsidRDefault="008D5506" w:rsidP="00370395">
            <w:pPr>
              <w:contextualSpacing/>
              <w:rPr>
                <w:b/>
                <w:i/>
                <w:sz w:val="28"/>
                <w:szCs w:val="28"/>
              </w:rPr>
            </w:pPr>
            <w:r w:rsidRPr="00370395">
              <w:rPr>
                <w:b/>
                <w:i/>
                <w:sz w:val="28"/>
                <w:szCs w:val="28"/>
              </w:rPr>
              <w:t>Monitoring Log/Report</w:t>
            </w:r>
          </w:p>
          <w:p w14:paraId="6EE4BE1C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585E1A54" w14:textId="77777777" w:rsidR="008D5506" w:rsidRDefault="00AE3C05" w:rsidP="00C073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Optional - </w:t>
            </w:r>
            <w:r w:rsidR="008D5506">
              <w:rPr>
                <w:sz w:val="24"/>
                <w:szCs w:val="24"/>
              </w:rPr>
              <w:t>All Monitoring Reports (required for all FDA studies)</w:t>
            </w:r>
          </w:p>
          <w:p w14:paraId="2D24E08F" w14:textId="77777777" w:rsidR="008D5506" w:rsidRDefault="008D5506" w:rsidP="00C07303">
            <w:pPr>
              <w:ind w:left="630"/>
              <w:contextualSpacing/>
            </w:pPr>
          </w:p>
        </w:tc>
      </w:tr>
      <w:tr w:rsidR="008D5506" w14:paraId="22F85FA1" w14:textId="77777777" w:rsidTr="008D5506">
        <w:tc>
          <w:tcPr>
            <w:tcW w:w="3438" w:type="dxa"/>
            <w:vMerge/>
          </w:tcPr>
          <w:p w14:paraId="553287F2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0E963A97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34526702" w14:textId="77777777" w:rsidR="008D5506" w:rsidRPr="001102F3" w:rsidRDefault="008D5506" w:rsidP="00C073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Log (required for all FDA studies) – documents all monitoring visits and reviews (e.g. site visits, FDA audits).</w:t>
            </w:r>
          </w:p>
          <w:p w14:paraId="58467B63" w14:textId="77777777" w:rsidR="008D5506" w:rsidRDefault="008D5506"/>
        </w:tc>
      </w:tr>
      <w:tr w:rsidR="008D5506" w14:paraId="160BABE2" w14:textId="77777777" w:rsidTr="008D5506">
        <w:tc>
          <w:tcPr>
            <w:tcW w:w="3438" w:type="dxa"/>
            <w:vMerge/>
          </w:tcPr>
          <w:p w14:paraId="2D797516" w14:textId="77777777" w:rsidR="008D5506" w:rsidRPr="00370395" w:rsidRDefault="008D5506" w:rsidP="00A73A2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278D9F6A" w14:textId="77777777" w:rsidR="008D5506" w:rsidRPr="00370395" w:rsidRDefault="008D5506" w:rsidP="00370395">
            <w:pPr>
              <w:rPr>
                <w:b/>
                <w:i/>
                <w:sz w:val="28"/>
                <w:szCs w:val="28"/>
              </w:rPr>
            </w:pPr>
            <w:r w:rsidRPr="00370395">
              <w:rPr>
                <w:b/>
                <w:i/>
                <w:sz w:val="28"/>
                <w:szCs w:val="28"/>
              </w:rPr>
              <w:t>Drug/Device Accountability Log</w:t>
            </w:r>
          </w:p>
          <w:p w14:paraId="7F2977DA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74E7D7EF" w14:textId="77777777" w:rsidR="008D5506" w:rsidRDefault="008D5506" w:rsidP="003703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record to document the shipment, receipt, use of and disposal of all investigational drugs/devices used for the study.</w:t>
            </w:r>
            <w:r w:rsidR="00C5051B">
              <w:rPr>
                <w:sz w:val="24"/>
                <w:szCs w:val="24"/>
              </w:rPr>
              <w:t xml:space="preserve"> </w:t>
            </w:r>
            <w:r w:rsidR="00CB5398">
              <w:rPr>
                <w:sz w:val="24"/>
                <w:szCs w:val="24"/>
              </w:rPr>
              <w:t xml:space="preserve"> (</w:t>
            </w:r>
            <w:r w:rsidR="00C5051B">
              <w:rPr>
                <w:sz w:val="24"/>
                <w:szCs w:val="24"/>
              </w:rPr>
              <w:t>This</w:t>
            </w:r>
            <w:r w:rsidR="00CB5398">
              <w:rPr>
                <w:sz w:val="24"/>
                <w:szCs w:val="24"/>
              </w:rPr>
              <w:t xml:space="preserve"> information</w:t>
            </w:r>
            <w:r w:rsidR="00C5051B">
              <w:rPr>
                <w:sz w:val="24"/>
                <w:szCs w:val="24"/>
              </w:rPr>
              <w:t xml:space="preserve"> may be stored in the pharmacy binder</w:t>
            </w:r>
            <w:r w:rsidR="00CB5398">
              <w:rPr>
                <w:sz w:val="24"/>
                <w:szCs w:val="24"/>
              </w:rPr>
              <w:t>.)</w:t>
            </w:r>
          </w:p>
          <w:p w14:paraId="7D53E1D5" w14:textId="77777777" w:rsidR="008D5506" w:rsidRDefault="008D5506" w:rsidP="00370395"/>
        </w:tc>
      </w:tr>
      <w:tr w:rsidR="008D5506" w14:paraId="0D4FD881" w14:textId="77777777" w:rsidTr="008D5506">
        <w:tc>
          <w:tcPr>
            <w:tcW w:w="3438" w:type="dxa"/>
            <w:vMerge/>
          </w:tcPr>
          <w:p w14:paraId="58CDA82F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64B9FDEC" w14:textId="77777777" w:rsidR="008D5506" w:rsidRPr="00370395" w:rsidRDefault="008D5506" w:rsidP="00370395">
            <w:pPr>
              <w:rPr>
                <w:b/>
                <w:i/>
                <w:sz w:val="28"/>
                <w:szCs w:val="28"/>
              </w:rPr>
            </w:pPr>
            <w:r w:rsidRPr="00370395">
              <w:rPr>
                <w:b/>
                <w:i/>
                <w:sz w:val="28"/>
                <w:szCs w:val="28"/>
              </w:rPr>
              <w:t>Laboratory Documentation</w:t>
            </w:r>
          </w:p>
          <w:p w14:paraId="4E4F2152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4CBE37C8" w14:textId="77777777" w:rsidR="008D5506" w:rsidRDefault="008D5506" w:rsidP="003703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 Value Range(s) for medical, laboratory, technical procedures and/or tests included in the protocol</w:t>
            </w:r>
          </w:p>
          <w:p w14:paraId="386ECA33" w14:textId="77777777" w:rsidR="008D5506" w:rsidRDefault="008D5506" w:rsidP="00370395">
            <w:pPr>
              <w:contextualSpacing/>
            </w:pPr>
          </w:p>
        </w:tc>
      </w:tr>
      <w:tr w:rsidR="008D5506" w14:paraId="05064301" w14:textId="77777777" w:rsidTr="008D5506">
        <w:tc>
          <w:tcPr>
            <w:tcW w:w="3438" w:type="dxa"/>
            <w:vMerge/>
          </w:tcPr>
          <w:p w14:paraId="4B317566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  <w:vMerge w:val="restart"/>
          </w:tcPr>
          <w:p w14:paraId="4371AE29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7B332824" w14:textId="77777777" w:rsidR="008D5506" w:rsidRDefault="008D5506" w:rsidP="003703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Certification/Accreditation for all medical, laboratory, technical procedures and/or test included in the protocol</w:t>
            </w:r>
          </w:p>
          <w:p w14:paraId="7497F7B1" w14:textId="77777777" w:rsidR="008D5506" w:rsidRDefault="008D5506" w:rsidP="00370395"/>
        </w:tc>
      </w:tr>
      <w:tr w:rsidR="008D5506" w14:paraId="118D66EE" w14:textId="77777777" w:rsidTr="008D5506">
        <w:tc>
          <w:tcPr>
            <w:tcW w:w="3438" w:type="dxa"/>
            <w:vMerge/>
          </w:tcPr>
          <w:p w14:paraId="5C454106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  <w:vMerge/>
          </w:tcPr>
          <w:p w14:paraId="67DC5DD7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0C08F912" w14:textId="77777777" w:rsidR="008D5506" w:rsidRDefault="008D5506" w:rsidP="003703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Director’s Curriculum Vitae (CV) – CV should be current within 2 years.</w:t>
            </w:r>
          </w:p>
          <w:p w14:paraId="4F47D399" w14:textId="77777777" w:rsidR="008D5506" w:rsidRDefault="008D5506" w:rsidP="00370395"/>
        </w:tc>
      </w:tr>
      <w:tr w:rsidR="008D5506" w14:paraId="1A21A62F" w14:textId="77777777" w:rsidTr="008D5506">
        <w:tc>
          <w:tcPr>
            <w:tcW w:w="3438" w:type="dxa"/>
            <w:vMerge/>
          </w:tcPr>
          <w:p w14:paraId="78B283D6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  <w:vMerge/>
          </w:tcPr>
          <w:p w14:paraId="73789E9A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75696F81" w14:textId="77777777" w:rsidR="008D5506" w:rsidRDefault="008D5506" w:rsidP="003703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Biosafety Registration information</w:t>
            </w:r>
          </w:p>
          <w:p w14:paraId="68E7A7EA" w14:textId="77777777" w:rsidR="008D5506" w:rsidRDefault="008D5506" w:rsidP="00370395"/>
        </w:tc>
      </w:tr>
      <w:tr w:rsidR="008D5506" w14:paraId="52120481" w14:textId="77777777" w:rsidTr="008D5506">
        <w:tc>
          <w:tcPr>
            <w:tcW w:w="3438" w:type="dxa"/>
            <w:vMerge/>
          </w:tcPr>
          <w:p w14:paraId="17F11B50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  <w:vMerge/>
          </w:tcPr>
          <w:p w14:paraId="17B1956C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12BDFD0B" w14:textId="77777777" w:rsidR="008D5506" w:rsidRDefault="008D5506" w:rsidP="003703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CLIA (Clinical Laboratory Improvement Amendments) Certification</w:t>
            </w:r>
          </w:p>
          <w:p w14:paraId="1DA15A4D" w14:textId="77777777" w:rsidR="008D5506" w:rsidRDefault="008D5506" w:rsidP="00370395"/>
        </w:tc>
      </w:tr>
      <w:tr w:rsidR="008D5506" w14:paraId="0EBC775A" w14:textId="77777777" w:rsidTr="008D5506">
        <w:tc>
          <w:tcPr>
            <w:tcW w:w="3438" w:type="dxa"/>
            <w:vMerge/>
          </w:tcPr>
          <w:p w14:paraId="18439C1D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  <w:vMerge/>
          </w:tcPr>
          <w:p w14:paraId="74C8B071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5225C9D3" w14:textId="77777777" w:rsidR="008D5506" w:rsidRDefault="008D5506" w:rsidP="00370395"/>
        </w:tc>
      </w:tr>
      <w:tr w:rsidR="008D5506" w14:paraId="1DF2582E" w14:textId="77777777" w:rsidTr="008D5506">
        <w:tc>
          <w:tcPr>
            <w:tcW w:w="3438" w:type="dxa"/>
            <w:vMerge/>
          </w:tcPr>
          <w:p w14:paraId="6F3B670C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  <w:vMerge/>
          </w:tcPr>
          <w:p w14:paraId="54ED2FC5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2A4E6E83" w14:textId="77777777" w:rsidR="008D5506" w:rsidRDefault="008D5506" w:rsidP="00370395"/>
        </w:tc>
      </w:tr>
      <w:tr w:rsidR="008D5506" w14:paraId="5A448C3D" w14:textId="77777777" w:rsidTr="008D5506">
        <w:tc>
          <w:tcPr>
            <w:tcW w:w="3438" w:type="dxa"/>
            <w:vMerge/>
          </w:tcPr>
          <w:p w14:paraId="752DA636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  <w:vMerge/>
          </w:tcPr>
          <w:p w14:paraId="734E6D16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22BBCE6B" w14:textId="77777777" w:rsidR="008D5506" w:rsidRDefault="008D5506" w:rsidP="003703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Certification of Analysis – document which lists the tests, methods, specifications, and results of the in-process, bulk, and final lot release tests for each bulk and/or lot of drug, chemical, or vaccine manufactures.</w:t>
            </w:r>
          </w:p>
          <w:p w14:paraId="19EAA83B" w14:textId="77777777" w:rsidR="008D5506" w:rsidRDefault="008D5506" w:rsidP="00370395"/>
        </w:tc>
      </w:tr>
      <w:tr w:rsidR="008D5506" w14:paraId="68B8E340" w14:textId="77777777" w:rsidTr="008D5506">
        <w:tc>
          <w:tcPr>
            <w:tcW w:w="3438" w:type="dxa"/>
          </w:tcPr>
          <w:p w14:paraId="12C4F1D4" w14:textId="77777777" w:rsidR="008D5506" w:rsidRPr="00370395" w:rsidRDefault="008D550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14:paraId="287E1A8C" w14:textId="77777777" w:rsidR="008D5506" w:rsidRPr="00370395" w:rsidRDefault="008D5506" w:rsidP="00370395">
            <w:pPr>
              <w:contextualSpacing/>
              <w:rPr>
                <w:b/>
                <w:i/>
                <w:sz w:val="28"/>
                <w:szCs w:val="28"/>
              </w:rPr>
            </w:pPr>
            <w:r w:rsidRPr="00370395">
              <w:rPr>
                <w:b/>
                <w:i/>
                <w:sz w:val="28"/>
                <w:szCs w:val="28"/>
              </w:rPr>
              <w:t>Product Information</w:t>
            </w:r>
          </w:p>
          <w:p w14:paraId="08CD401C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45211E14" w14:textId="77777777" w:rsidR="008D5506" w:rsidRDefault="008D5506" w:rsidP="003703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Investigator brochure and updates</w:t>
            </w:r>
            <w:r w:rsidR="00CB5398">
              <w:rPr>
                <w:sz w:val="24"/>
                <w:szCs w:val="24"/>
              </w:rPr>
              <w:t>, and documentation of submission to the IRB.</w:t>
            </w:r>
          </w:p>
          <w:p w14:paraId="228BD00A" w14:textId="77777777" w:rsidR="008D5506" w:rsidRDefault="008D5506" w:rsidP="00370395">
            <w:pPr>
              <w:contextualSpacing/>
            </w:pPr>
          </w:p>
        </w:tc>
      </w:tr>
      <w:tr w:rsidR="008D5506" w14:paraId="0C1744CB" w14:textId="77777777" w:rsidTr="008D5506">
        <w:tc>
          <w:tcPr>
            <w:tcW w:w="3438" w:type="dxa"/>
            <w:vMerge w:val="restart"/>
          </w:tcPr>
          <w:p w14:paraId="17F3035E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vMerge w:val="restart"/>
          </w:tcPr>
          <w:p w14:paraId="60D4DCF3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612D5222" w14:textId="77777777" w:rsidR="008D5506" w:rsidRDefault="008D5506" w:rsidP="003703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Package insert</w:t>
            </w:r>
          </w:p>
          <w:p w14:paraId="22B4C5DC" w14:textId="77777777" w:rsidR="008D5506" w:rsidRDefault="008D5506" w:rsidP="00370395"/>
        </w:tc>
      </w:tr>
      <w:tr w:rsidR="008D5506" w14:paraId="2D9176D9" w14:textId="77777777" w:rsidTr="008D5506">
        <w:tc>
          <w:tcPr>
            <w:tcW w:w="3438" w:type="dxa"/>
            <w:vMerge/>
          </w:tcPr>
          <w:p w14:paraId="73B6D83D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vMerge/>
          </w:tcPr>
          <w:p w14:paraId="48929AB7" w14:textId="77777777" w:rsidR="008D5506" w:rsidRPr="00370395" w:rsidRDefault="008D5506">
            <w:pPr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3B463061" w14:textId="77777777" w:rsidR="008D5506" w:rsidRDefault="008D5506" w:rsidP="003703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Device manual</w:t>
            </w:r>
          </w:p>
          <w:p w14:paraId="0EBAC12C" w14:textId="77777777" w:rsidR="008D5506" w:rsidRDefault="008D5506" w:rsidP="00370395"/>
        </w:tc>
      </w:tr>
      <w:tr w:rsidR="008D5506" w14:paraId="277397E2" w14:textId="77777777" w:rsidTr="008D5506">
        <w:tc>
          <w:tcPr>
            <w:tcW w:w="3438" w:type="dxa"/>
            <w:vMerge/>
          </w:tcPr>
          <w:p w14:paraId="40892FB5" w14:textId="77777777" w:rsidR="008D5506" w:rsidRDefault="008D5506"/>
        </w:tc>
        <w:tc>
          <w:tcPr>
            <w:tcW w:w="3870" w:type="dxa"/>
            <w:vMerge/>
          </w:tcPr>
          <w:p w14:paraId="69F81A87" w14:textId="77777777" w:rsidR="008D5506" w:rsidRDefault="008D5506"/>
        </w:tc>
        <w:tc>
          <w:tcPr>
            <w:tcW w:w="5868" w:type="dxa"/>
          </w:tcPr>
          <w:p w14:paraId="6E1E9CD5" w14:textId="77777777" w:rsidR="008D5506" w:rsidRDefault="008D5506" w:rsidP="00370395">
            <w:r>
              <w:rPr>
                <w:sz w:val="24"/>
                <w:szCs w:val="24"/>
              </w:rPr>
              <w:t>Sample of product label</w:t>
            </w:r>
          </w:p>
        </w:tc>
      </w:tr>
      <w:tr w:rsidR="008D5506" w14:paraId="4B3098F1" w14:textId="77777777" w:rsidTr="008D5506">
        <w:tc>
          <w:tcPr>
            <w:tcW w:w="3438" w:type="dxa"/>
            <w:vMerge/>
          </w:tcPr>
          <w:p w14:paraId="1896805C" w14:textId="77777777" w:rsidR="008D5506" w:rsidRDefault="008D5506"/>
        </w:tc>
        <w:tc>
          <w:tcPr>
            <w:tcW w:w="3870" w:type="dxa"/>
            <w:vMerge/>
          </w:tcPr>
          <w:p w14:paraId="60C7194B" w14:textId="77777777" w:rsidR="008D5506" w:rsidRDefault="008D5506"/>
        </w:tc>
        <w:tc>
          <w:tcPr>
            <w:tcW w:w="5868" w:type="dxa"/>
          </w:tcPr>
          <w:p w14:paraId="51224436" w14:textId="77777777" w:rsidR="008D5506" w:rsidRPr="00D86BE8" w:rsidRDefault="008D5506" w:rsidP="00370395">
            <w:pPr>
              <w:contextualSpacing/>
              <w:rPr>
                <w:sz w:val="24"/>
                <w:szCs w:val="24"/>
              </w:rPr>
            </w:pPr>
            <w:r w:rsidRPr="00D86BE8">
              <w:rPr>
                <w:sz w:val="24"/>
                <w:szCs w:val="24"/>
              </w:rPr>
              <w:t>Instructions for handling investigational product(s)</w:t>
            </w:r>
          </w:p>
          <w:p w14:paraId="2A9FB006" w14:textId="77777777" w:rsidR="008D5506" w:rsidRDefault="008D5506" w:rsidP="00370395"/>
        </w:tc>
      </w:tr>
    </w:tbl>
    <w:p w14:paraId="22682953" w14:textId="77777777" w:rsidR="008267B8" w:rsidRDefault="008267B8"/>
    <w:sectPr w:rsidR="008267B8" w:rsidSect="00A0259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B02D" w14:textId="77777777" w:rsidR="00FB4129" w:rsidRDefault="00FB4129" w:rsidP="00F21F01">
      <w:pPr>
        <w:spacing w:after="0" w:line="240" w:lineRule="auto"/>
      </w:pPr>
      <w:r>
        <w:separator/>
      </w:r>
    </w:p>
  </w:endnote>
  <w:endnote w:type="continuationSeparator" w:id="0">
    <w:p w14:paraId="5A899AA5" w14:textId="77777777" w:rsidR="00FB4129" w:rsidRDefault="00FB4129" w:rsidP="00F2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050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4DE1C" w14:textId="77777777" w:rsidR="0037505F" w:rsidRDefault="003750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2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4987AC" w14:textId="77777777" w:rsidR="0037505F" w:rsidRPr="00976D06" w:rsidRDefault="00AE3C05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7Nov</w:t>
    </w:r>
    <w:r w:rsidR="00CB5398">
      <w:rPr>
        <w:i/>
        <w:sz w:val="18"/>
        <w:szCs w:val="18"/>
      </w:rPr>
      <w:t>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974B" w14:textId="77777777" w:rsidR="00FB4129" w:rsidRDefault="00FB4129" w:rsidP="00F21F01">
      <w:pPr>
        <w:spacing w:after="0" w:line="240" w:lineRule="auto"/>
      </w:pPr>
      <w:r>
        <w:separator/>
      </w:r>
    </w:p>
  </w:footnote>
  <w:footnote w:type="continuationSeparator" w:id="0">
    <w:p w14:paraId="317C7AF0" w14:textId="77777777" w:rsidR="00FB4129" w:rsidRDefault="00FB4129" w:rsidP="00F2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25FF" w14:textId="77777777" w:rsidR="00F21F01" w:rsidRPr="00F46CBD" w:rsidRDefault="00F21F01">
    <w:pPr>
      <w:pStyle w:val="Header"/>
      <w:rPr>
        <w:b/>
        <w:sz w:val="32"/>
        <w:szCs w:val="32"/>
      </w:rPr>
    </w:pPr>
    <w:r w:rsidRPr="00F46CBD">
      <w:rPr>
        <w:b/>
        <w:sz w:val="32"/>
        <w:szCs w:val="32"/>
      </w:rPr>
      <w:t>REGULATORY DOCUMENTS BINDER TAB TOPICS</w:t>
    </w:r>
    <w:r w:rsidR="00611271">
      <w:rPr>
        <w:b/>
        <w:sz w:val="32"/>
        <w:szCs w:val="32"/>
      </w:rPr>
      <w:t xml:space="preserve"> FOR ELECTRONIC STORAGE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4574"/>
    <w:multiLevelType w:val="hybridMultilevel"/>
    <w:tmpl w:val="32B2685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5C43A91"/>
    <w:multiLevelType w:val="hybridMultilevel"/>
    <w:tmpl w:val="868AD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E4511"/>
    <w:multiLevelType w:val="hybridMultilevel"/>
    <w:tmpl w:val="17AA2B0E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25C48C5"/>
    <w:multiLevelType w:val="hybridMultilevel"/>
    <w:tmpl w:val="3B047E4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78970FC"/>
    <w:multiLevelType w:val="hybridMultilevel"/>
    <w:tmpl w:val="BF06CDA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EDD22B1"/>
    <w:multiLevelType w:val="hybridMultilevel"/>
    <w:tmpl w:val="6DD641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E0A79"/>
    <w:multiLevelType w:val="hybridMultilevel"/>
    <w:tmpl w:val="08341AF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8105C30"/>
    <w:multiLevelType w:val="hybridMultilevel"/>
    <w:tmpl w:val="0014494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9096FAB"/>
    <w:multiLevelType w:val="hybridMultilevel"/>
    <w:tmpl w:val="B9CA339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5A5B13DF"/>
    <w:multiLevelType w:val="hybridMultilevel"/>
    <w:tmpl w:val="737A7D0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5E8C58D7"/>
    <w:multiLevelType w:val="hybridMultilevel"/>
    <w:tmpl w:val="3492405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12510D0"/>
    <w:multiLevelType w:val="hybridMultilevel"/>
    <w:tmpl w:val="702CD32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6585682A"/>
    <w:multiLevelType w:val="hybridMultilevel"/>
    <w:tmpl w:val="33A8FFCA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CB95346"/>
    <w:multiLevelType w:val="hybridMultilevel"/>
    <w:tmpl w:val="BE320EA0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09A0908"/>
    <w:multiLevelType w:val="hybridMultilevel"/>
    <w:tmpl w:val="4350B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D5DA0"/>
    <w:multiLevelType w:val="hybridMultilevel"/>
    <w:tmpl w:val="9812960E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0E437A4"/>
    <w:multiLevelType w:val="hybridMultilevel"/>
    <w:tmpl w:val="42DC4BF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74874042"/>
    <w:multiLevelType w:val="hybridMultilevel"/>
    <w:tmpl w:val="9370AE8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752551D6"/>
    <w:multiLevelType w:val="hybridMultilevel"/>
    <w:tmpl w:val="F6E205BA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833375319">
    <w:abstractNumId w:val="1"/>
  </w:num>
  <w:num w:numId="2" w16cid:durableId="871965225">
    <w:abstractNumId w:val="4"/>
  </w:num>
  <w:num w:numId="3" w16cid:durableId="2078630254">
    <w:abstractNumId w:val="13"/>
  </w:num>
  <w:num w:numId="4" w16cid:durableId="1963879399">
    <w:abstractNumId w:val="18"/>
  </w:num>
  <w:num w:numId="5" w16cid:durableId="2007054947">
    <w:abstractNumId w:val="6"/>
  </w:num>
  <w:num w:numId="6" w16cid:durableId="195965688">
    <w:abstractNumId w:val="2"/>
  </w:num>
  <w:num w:numId="7" w16cid:durableId="529341575">
    <w:abstractNumId w:val="12"/>
  </w:num>
  <w:num w:numId="8" w16cid:durableId="1986009044">
    <w:abstractNumId w:val="0"/>
  </w:num>
  <w:num w:numId="9" w16cid:durableId="434136504">
    <w:abstractNumId w:val="3"/>
  </w:num>
  <w:num w:numId="10" w16cid:durableId="429861900">
    <w:abstractNumId w:val="16"/>
  </w:num>
  <w:num w:numId="11" w16cid:durableId="1101340984">
    <w:abstractNumId w:val="14"/>
  </w:num>
  <w:num w:numId="12" w16cid:durableId="1745758046">
    <w:abstractNumId w:val="5"/>
  </w:num>
  <w:num w:numId="13" w16cid:durableId="1875265398">
    <w:abstractNumId w:val="11"/>
  </w:num>
  <w:num w:numId="14" w16cid:durableId="1413700327">
    <w:abstractNumId w:val="7"/>
  </w:num>
  <w:num w:numId="15" w16cid:durableId="1319264766">
    <w:abstractNumId w:val="10"/>
  </w:num>
  <w:num w:numId="16" w16cid:durableId="262153416">
    <w:abstractNumId w:val="15"/>
  </w:num>
  <w:num w:numId="17" w16cid:durableId="788622581">
    <w:abstractNumId w:val="8"/>
  </w:num>
  <w:num w:numId="18" w16cid:durableId="98065184">
    <w:abstractNumId w:val="17"/>
  </w:num>
  <w:num w:numId="19" w16cid:durableId="116066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97"/>
    <w:rsid w:val="000B3585"/>
    <w:rsid w:val="00157CA4"/>
    <w:rsid w:val="00217212"/>
    <w:rsid w:val="00342346"/>
    <w:rsid w:val="00370395"/>
    <w:rsid w:val="0037505F"/>
    <w:rsid w:val="003D23E3"/>
    <w:rsid w:val="005A2659"/>
    <w:rsid w:val="005D2959"/>
    <w:rsid w:val="00611271"/>
    <w:rsid w:val="006E342E"/>
    <w:rsid w:val="007723FD"/>
    <w:rsid w:val="00791750"/>
    <w:rsid w:val="008267B8"/>
    <w:rsid w:val="008A7535"/>
    <w:rsid w:val="008D5506"/>
    <w:rsid w:val="00976D06"/>
    <w:rsid w:val="00991E0D"/>
    <w:rsid w:val="009D209B"/>
    <w:rsid w:val="009F09B3"/>
    <w:rsid w:val="00A02597"/>
    <w:rsid w:val="00A323D9"/>
    <w:rsid w:val="00AA4654"/>
    <w:rsid w:val="00AE3C05"/>
    <w:rsid w:val="00BC3A39"/>
    <w:rsid w:val="00C07303"/>
    <w:rsid w:val="00C43767"/>
    <w:rsid w:val="00C5051B"/>
    <w:rsid w:val="00CB5398"/>
    <w:rsid w:val="00CC2404"/>
    <w:rsid w:val="00D83F14"/>
    <w:rsid w:val="00E77937"/>
    <w:rsid w:val="00E903EA"/>
    <w:rsid w:val="00E94BB6"/>
    <w:rsid w:val="00F21F01"/>
    <w:rsid w:val="00F46CBD"/>
    <w:rsid w:val="00F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CE6D"/>
  <w15:docId w15:val="{B78F6EEB-E8DD-4D1E-A0D9-3C9A1EA4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9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F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1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F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Pettit</dc:creator>
  <cp:lastModifiedBy>Owens, Shannon</cp:lastModifiedBy>
  <cp:revision>4</cp:revision>
  <dcterms:created xsi:type="dcterms:W3CDTF">2023-08-21T17:38:00Z</dcterms:created>
  <dcterms:modified xsi:type="dcterms:W3CDTF">2023-08-21T17:40:00Z</dcterms:modified>
</cp:coreProperties>
</file>